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50C6" w14:textId="77777777" w:rsidR="00BE2376" w:rsidRDefault="00000000">
      <w:pPr>
        <w:keepNext/>
        <w:keepLines/>
        <w:spacing w:after="0"/>
      </w:pPr>
      <w:r>
        <w:rPr>
          <w:rFonts w:ascii="Times New Roman"/>
          <w:sz w:val="28"/>
        </w:rPr>
        <w:t>Student name:__________</w:t>
      </w:r>
    </w:p>
    <w:p w14:paraId="503B7B2B" w14:textId="77777777" w:rsidR="00BE2376" w:rsidRDefault="00000000">
      <w:pPr>
        <w:keepNext/>
        <w:keepLines/>
        <w:spacing w:after="0"/>
      </w:pPr>
      <w:r>
        <w:rPr>
          <w:rFonts w:ascii="Times New Roman"/>
          <w:b/>
          <w:sz w:val="24"/>
        </w:rPr>
        <w:t>TRUE/FALSE - Write 'T' if the statement is true and 'F' if the statement is false.</w:t>
      </w:r>
    </w:p>
    <w:p w14:paraId="14F10627" w14:textId="77777777" w:rsidR="00BE2376" w:rsidRDefault="00000000">
      <w:pPr>
        <w:keepNext/>
        <w:keepLines/>
        <w:numPr>
          <w:ilvl w:val="0"/>
          <w:numId w:val="1"/>
        </w:numPr>
        <w:spacing w:after="0"/>
      </w:pPr>
      <w:r>
        <w:rPr>
          <w:rFonts w:ascii="Times New Roman"/>
          <w:sz w:val="24"/>
        </w:rPr>
        <w:t>Rate-regulated companies are permitted to use U.S. GAAP because IASB has not yet developed its own standards.</w:t>
      </w:r>
    </w:p>
    <w:p w14:paraId="7D85BE5C" w14:textId="77777777" w:rsidR="00BE2376" w:rsidRDefault="00000000">
      <w:pPr>
        <w:keepNext/>
        <w:keepLines/>
        <w:numPr>
          <w:ilvl w:val="0"/>
          <w:numId w:val="3"/>
        </w:numPr>
        <w:spacing w:after="0"/>
      </w:pPr>
      <w:r>
        <w:rPr>
          <w:rFonts w:ascii="Times New Roman"/>
          <w:sz w:val="24"/>
        </w:rPr>
        <w:t>true</w:t>
      </w:r>
    </w:p>
    <w:p w14:paraId="0EE4D878" w14:textId="77777777" w:rsidR="00BE2376" w:rsidRDefault="00000000">
      <w:pPr>
        <w:keepNext/>
        <w:keepLines/>
        <w:numPr>
          <w:ilvl w:val="0"/>
          <w:numId w:val="3"/>
        </w:numPr>
        <w:spacing w:after="0"/>
      </w:pPr>
      <w:r>
        <w:rPr>
          <w:rFonts w:ascii="Times New Roman"/>
          <w:sz w:val="24"/>
        </w:rPr>
        <w:t>false</w:t>
      </w:r>
    </w:p>
    <w:p w14:paraId="7C512F9C" w14:textId="77777777" w:rsidR="00BE2376" w:rsidRDefault="00BE2376">
      <w:pPr>
        <w:keepLines/>
        <w:spacing w:after="0"/>
      </w:pPr>
    </w:p>
    <w:p w14:paraId="519C6078" w14:textId="77777777" w:rsidR="00BE2376" w:rsidRDefault="00000000">
      <w:pPr>
        <w:keepNext/>
        <w:keepLines/>
        <w:numPr>
          <w:ilvl w:val="0"/>
          <w:numId w:val="1"/>
        </w:numPr>
        <w:spacing w:after="0"/>
      </w:pPr>
      <w:r>
        <w:rPr>
          <w:rFonts w:ascii="Times New Roman"/>
          <w:sz w:val="24"/>
        </w:rPr>
        <w:t>ASPE is often different than IFRS due to the cost of preparing financial statements to comply with complex standards being greater than the benefit received by users of those statements.</w:t>
      </w:r>
    </w:p>
    <w:p w14:paraId="772DAB8A" w14:textId="77777777" w:rsidR="00BE2376" w:rsidRDefault="00000000">
      <w:pPr>
        <w:keepNext/>
        <w:keepLines/>
        <w:numPr>
          <w:ilvl w:val="0"/>
          <w:numId w:val="3"/>
        </w:numPr>
        <w:spacing w:after="0"/>
      </w:pPr>
      <w:r>
        <w:rPr>
          <w:rFonts w:ascii="Times New Roman"/>
          <w:sz w:val="24"/>
        </w:rPr>
        <w:t>true</w:t>
      </w:r>
    </w:p>
    <w:p w14:paraId="2E1AC612" w14:textId="77777777" w:rsidR="00BE2376" w:rsidRDefault="00000000">
      <w:pPr>
        <w:keepNext/>
        <w:keepLines/>
        <w:numPr>
          <w:ilvl w:val="0"/>
          <w:numId w:val="3"/>
        </w:numPr>
        <w:spacing w:after="0"/>
      </w:pPr>
      <w:r>
        <w:rPr>
          <w:rFonts w:ascii="Times New Roman"/>
          <w:sz w:val="24"/>
        </w:rPr>
        <w:t>false</w:t>
      </w:r>
    </w:p>
    <w:p w14:paraId="542D5A9C" w14:textId="77777777" w:rsidR="00BE2376" w:rsidRDefault="00BE2376">
      <w:pPr>
        <w:keepLines/>
        <w:spacing w:after="0"/>
      </w:pPr>
    </w:p>
    <w:p w14:paraId="6AF9E3BE" w14:textId="77777777" w:rsidR="00BE2376" w:rsidRDefault="00000000">
      <w:pPr>
        <w:keepNext/>
        <w:keepLines/>
        <w:numPr>
          <w:ilvl w:val="0"/>
          <w:numId w:val="1"/>
        </w:numPr>
        <w:spacing w:after="0"/>
      </w:pPr>
      <w:r>
        <w:rPr>
          <w:rFonts w:ascii="Times New Roman"/>
          <w:sz w:val="24"/>
        </w:rPr>
        <w:t>IAS 1 has a mandatory requirement that Canadian companies use the titles balance sheet or income statement for their financial statements.</w:t>
      </w:r>
    </w:p>
    <w:p w14:paraId="0FA2DE65" w14:textId="77777777" w:rsidR="00BE2376" w:rsidRDefault="00000000">
      <w:pPr>
        <w:keepNext/>
        <w:keepLines/>
        <w:numPr>
          <w:ilvl w:val="0"/>
          <w:numId w:val="3"/>
        </w:numPr>
        <w:spacing w:after="0"/>
      </w:pPr>
      <w:r>
        <w:rPr>
          <w:rFonts w:ascii="Times New Roman"/>
          <w:sz w:val="24"/>
        </w:rPr>
        <w:t>true</w:t>
      </w:r>
    </w:p>
    <w:p w14:paraId="763A9198" w14:textId="77777777" w:rsidR="00BE2376" w:rsidRDefault="00000000">
      <w:pPr>
        <w:keepNext/>
        <w:keepLines/>
        <w:numPr>
          <w:ilvl w:val="0"/>
          <w:numId w:val="3"/>
        </w:numPr>
        <w:spacing w:after="0"/>
      </w:pPr>
      <w:r>
        <w:rPr>
          <w:rFonts w:ascii="Times New Roman"/>
          <w:sz w:val="24"/>
        </w:rPr>
        <w:t>false</w:t>
      </w:r>
    </w:p>
    <w:p w14:paraId="3FF06A4E" w14:textId="77777777" w:rsidR="00BE2376" w:rsidRDefault="00BE2376">
      <w:pPr>
        <w:keepLines/>
        <w:spacing w:after="0"/>
      </w:pPr>
    </w:p>
    <w:p w14:paraId="052B165E" w14:textId="77777777" w:rsidR="00BE2376" w:rsidRDefault="00000000">
      <w:pPr>
        <w:keepNext/>
        <w:keepLines/>
        <w:spacing w:after="0"/>
      </w:pPr>
      <w:r>
        <w:rPr>
          <w:rFonts w:ascii="Times New Roman"/>
          <w:b/>
          <w:sz w:val="24"/>
        </w:rPr>
        <w:t>MULTIPLE CHOICE - Choose the one alternative that best completes the statement or answers the question.</w:t>
      </w:r>
    </w:p>
    <w:p w14:paraId="6105DA6E" w14:textId="77777777" w:rsidR="00BE2376" w:rsidRDefault="00000000">
      <w:pPr>
        <w:keepNext/>
        <w:keepLines/>
        <w:numPr>
          <w:ilvl w:val="0"/>
          <w:numId w:val="1"/>
        </w:numPr>
        <w:spacing w:after="0"/>
      </w:pPr>
      <w:r>
        <w:rPr>
          <w:rFonts w:ascii="Times New Roman"/>
          <w:sz w:val="24"/>
        </w:rPr>
        <w:t>In which of the following situations would professional judgment NOT be required in decision making?</w:t>
      </w:r>
    </w:p>
    <w:p w14:paraId="38999656" w14:textId="77777777" w:rsidR="00BE2376" w:rsidRDefault="00000000">
      <w:pPr>
        <w:keepNext/>
        <w:keepLines/>
        <w:numPr>
          <w:ilvl w:val="7"/>
          <w:numId w:val="1"/>
        </w:numPr>
        <w:spacing w:after="0"/>
      </w:pPr>
      <w:r>
        <w:rPr>
          <w:rFonts w:ascii="Times New Roman"/>
          <w:sz w:val="24"/>
        </w:rPr>
        <w:t>Recognition of revenue.</w:t>
      </w:r>
    </w:p>
    <w:p w14:paraId="77293C0D" w14:textId="77777777" w:rsidR="00BE2376" w:rsidRDefault="00000000">
      <w:pPr>
        <w:keepNext/>
        <w:keepLines/>
        <w:numPr>
          <w:ilvl w:val="7"/>
          <w:numId w:val="1"/>
        </w:numPr>
        <w:spacing w:after="0"/>
      </w:pPr>
      <w:r>
        <w:rPr>
          <w:rFonts w:ascii="Times New Roman"/>
          <w:sz w:val="24"/>
        </w:rPr>
        <w:t>The making of accounting estimates.</w:t>
      </w:r>
    </w:p>
    <w:p w14:paraId="03F1C4A0" w14:textId="77777777" w:rsidR="00BE2376" w:rsidRDefault="00000000">
      <w:pPr>
        <w:keepNext/>
        <w:keepLines/>
        <w:numPr>
          <w:ilvl w:val="7"/>
          <w:numId w:val="1"/>
        </w:numPr>
        <w:spacing w:after="0"/>
      </w:pPr>
      <w:r>
        <w:rPr>
          <w:rFonts w:ascii="Times New Roman"/>
          <w:sz w:val="24"/>
        </w:rPr>
        <w:t>Disclosure of information in the notes to the financial statements.</w:t>
      </w:r>
    </w:p>
    <w:p w14:paraId="6D10D203" w14:textId="77777777" w:rsidR="00BE2376" w:rsidRDefault="00000000">
      <w:pPr>
        <w:keepNext/>
        <w:keepLines/>
        <w:numPr>
          <w:ilvl w:val="7"/>
          <w:numId w:val="1"/>
        </w:numPr>
        <w:spacing w:after="0"/>
      </w:pPr>
      <w:r>
        <w:rPr>
          <w:rFonts w:ascii="Times New Roman"/>
          <w:sz w:val="24"/>
        </w:rPr>
        <w:t>Use of IFRS or ASPE for publicly traded companies in Canada.</w:t>
      </w:r>
    </w:p>
    <w:p w14:paraId="3955BD85" w14:textId="77777777" w:rsidR="00BE2376" w:rsidRDefault="00BE2376">
      <w:pPr>
        <w:keepLines/>
        <w:spacing w:after="0"/>
      </w:pPr>
    </w:p>
    <w:p w14:paraId="295457AE" w14:textId="77777777" w:rsidR="00BE2376" w:rsidRDefault="00000000">
      <w:pPr>
        <w:keepNext/>
        <w:keepLines/>
        <w:numPr>
          <w:ilvl w:val="0"/>
          <w:numId w:val="1"/>
        </w:numPr>
        <w:spacing w:after="0"/>
      </w:pPr>
      <w:r>
        <w:rPr>
          <w:rFonts w:ascii="Times New Roman"/>
          <w:sz w:val="24"/>
        </w:rPr>
        <w:t>Which of the following statements pertaining to generally accepted accounting principles (GAAP) is INCORRECT?</w:t>
      </w:r>
    </w:p>
    <w:p w14:paraId="23B4892D" w14:textId="77777777" w:rsidR="00BE2376" w:rsidRDefault="00000000">
      <w:pPr>
        <w:keepNext/>
        <w:keepLines/>
        <w:numPr>
          <w:ilvl w:val="7"/>
          <w:numId w:val="1"/>
        </w:numPr>
        <w:spacing w:after="0"/>
      </w:pPr>
      <w:r>
        <w:rPr>
          <w:rFonts w:ascii="Times New Roman"/>
          <w:sz w:val="24"/>
        </w:rPr>
        <w:t>The process of developing GAAP is political.</w:t>
      </w:r>
    </w:p>
    <w:p w14:paraId="5FFF4A74" w14:textId="77777777" w:rsidR="00BE2376" w:rsidRDefault="00000000">
      <w:pPr>
        <w:keepNext/>
        <w:keepLines/>
        <w:numPr>
          <w:ilvl w:val="7"/>
          <w:numId w:val="1"/>
        </w:numPr>
        <w:spacing w:after="0"/>
      </w:pPr>
      <w:r>
        <w:rPr>
          <w:rFonts w:ascii="Times New Roman"/>
          <w:sz w:val="24"/>
        </w:rPr>
        <w:t>If a proposal for a new financial reporting is not accepted by users, it is unlikely to become part of GAAP.</w:t>
      </w:r>
    </w:p>
    <w:p w14:paraId="5FD82C70" w14:textId="77777777" w:rsidR="00BE2376" w:rsidRDefault="00000000">
      <w:pPr>
        <w:keepNext/>
        <w:keepLines/>
        <w:numPr>
          <w:ilvl w:val="7"/>
          <w:numId w:val="1"/>
        </w:numPr>
        <w:spacing w:after="0"/>
      </w:pPr>
      <w:r>
        <w:rPr>
          <w:rFonts w:ascii="Times New Roman"/>
          <w:sz w:val="24"/>
        </w:rPr>
        <w:t>If an entity that follows GAAP encounters transactions that are not addressed by the CPA Canada Handbook, it is permitted to adopt accounting practices that are consistent with industry practice.</w:t>
      </w:r>
    </w:p>
    <w:p w14:paraId="032DBEE6" w14:textId="77777777" w:rsidR="00BE2376" w:rsidRDefault="00000000">
      <w:pPr>
        <w:keepNext/>
        <w:keepLines/>
        <w:numPr>
          <w:ilvl w:val="7"/>
          <w:numId w:val="1"/>
        </w:numPr>
        <w:spacing w:after="0"/>
      </w:pPr>
      <w:r>
        <w:rPr>
          <w:rFonts w:ascii="Times New Roman"/>
          <w:sz w:val="24"/>
        </w:rPr>
        <w:t>Publicly traded companies are required to submit financial statements that comply with GAAP to the securities commissions under which they are registered.</w:t>
      </w:r>
    </w:p>
    <w:p w14:paraId="0D013AD9" w14:textId="77777777" w:rsidR="00BE2376" w:rsidRDefault="00BE2376">
      <w:pPr>
        <w:keepLines/>
        <w:spacing w:after="0"/>
      </w:pPr>
    </w:p>
    <w:p w14:paraId="033B60A5" w14:textId="77777777" w:rsidR="00BE2376" w:rsidRDefault="00000000">
      <w:pPr>
        <w:keepNext/>
        <w:keepLines/>
        <w:numPr>
          <w:ilvl w:val="0"/>
          <w:numId w:val="1"/>
        </w:numPr>
        <w:spacing w:after="0"/>
      </w:pPr>
      <w:r>
        <w:rPr>
          <w:rFonts w:ascii="Times New Roman"/>
          <w:sz w:val="24"/>
        </w:rPr>
        <w:lastRenderedPageBreak/>
        <w:t>Which of the following examples does NOT demonstrate the interrelationships of financial statement elements?</w:t>
      </w:r>
    </w:p>
    <w:p w14:paraId="17F73AD4" w14:textId="77777777" w:rsidR="00BE2376" w:rsidRDefault="00000000">
      <w:pPr>
        <w:keepNext/>
        <w:keepLines/>
        <w:numPr>
          <w:ilvl w:val="7"/>
          <w:numId w:val="1"/>
        </w:numPr>
        <w:spacing w:after="0"/>
      </w:pPr>
      <w:r>
        <w:rPr>
          <w:rFonts w:ascii="Times New Roman"/>
          <w:sz w:val="24"/>
        </w:rPr>
        <w:t>A sale on account will increase assets and equity.</w:t>
      </w:r>
    </w:p>
    <w:p w14:paraId="029897A3" w14:textId="77777777" w:rsidR="00BE2376" w:rsidRDefault="00000000">
      <w:pPr>
        <w:keepNext/>
        <w:keepLines/>
        <w:numPr>
          <w:ilvl w:val="7"/>
          <w:numId w:val="1"/>
        </w:numPr>
        <w:spacing w:after="0"/>
      </w:pPr>
      <w:r>
        <w:rPr>
          <w:rFonts w:ascii="Times New Roman"/>
          <w:sz w:val="24"/>
        </w:rPr>
        <w:t>Depreciation of equipment will decrease assets and decrease equity.</w:t>
      </w:r>
    </w:p>
    <w:p w14:paraId="32FE09C2" w14:textId="77777777" w:rsidR="00BE2376" w:rsidRDefault="00000000">
      <w:pPr>
        <w:keepNext/>
        <w:keepLines/>
        <w:numPr>
          <w:ilvl w:val="7"/>
          <w:numId w:val="1"/>
        </w:numPr>
        <w:spacing w:after="0"/>
      </w:pPr>
      <w:r>
        <w:rPr>
          <w:rFonts w:ascii="Times New Roman"/>
          <w:sz w:val="24"/>
        </w:rPr>
        <w:t>The payment of a payable will decrease liabilities and increase assets.</w:t>
      </w:r>
    </w:p>
    <w:p w14:paraId="56C936B1" w14:textId="77777777" w:rsidR="00BE2376" w:rsidRDefault="00000000">
      <w:pPr>
        <w:keepNext/>
        <w:keepLines/>
        <w:numPr>
          <w:ilvl w:val="7"/>
          <w:numId w:val="1"/>
        </w:numPr>
        <w:spacing w:after="0"/>
      </w:pPr>
      <w:r>
        <w:rPr>
          <w:rFonts w:ascii="Times New Roman"/>
          <w:sz w:val="24"/>
        </w:rPr>
        <w:t>The contribution of capital will increase an asset and increase equity.</w:t>
      </w:r>
    </w:p>
    <w:p w14:paraId="004417CF" w14:textId="77777777" w:rsidR="00BE2376" w:rsidRDefault="00BE2376">
      <w:pPr>
        <w:keepLines/>
        <w:spacing w:after="0"/>
      </w:pPr>
    </w:p>
    <w:p w14:paraId="4F52006B" w14:textId="77777777" w:rsidR="00BE2376" w:rsidRDefault="00000000">
      <w:pPr>
        <w:keepNext/>
        <w:keepLines/>
        <w:numPr>
          <w:ilvl w:val="0"/>
          <w:numId w:val="1"/>
        </w:numPr>
        <w:spacing w:after="0"/>
      </w:pPr>
      <w:r>
        <w:rPr>
          <w:rFonts w:ascii="Times New Roman"/>
          <w:sz w:val="24"/>
        </w:rPr>
        <w:t>Which of the following statements pertaining to GAAP for publicly accountable enterprises (PAEs) is correct?</w:t>
      </w:r>
    </w:p>
    <w:p w14:paraId="17E6E6C3" w14:textId="77777777" w:rsidR="00BE2376" w:rsidRDefault="00000000">
      <w:pPr>
        <w:keepNext/>
        <w:keepLines/>
        <w:numPr>
          <w:ilvl w:val="7"/>
          <w:numId w:val="1"/>
        </w:numPr>
        <w:spacing w:after="0"/>
      </w:pPr>
      <w:r>
        <w:rPr>
          <w:rFonts w:ascii="Times New Roman"/>
          <w:sz w:val="24"/>
        </w:rPr>
        <w:t>PAEs include not-for-profit organizations.</w:t>
      </w:r>
    </w:p>
    <w:p w14:paraId="102F7932" w14:textId="77777777" w:rsidR="00BE2376" w:rsidRDefault="00000000">
      <w:pPr>
        <w:keepNext/>
        <w:keepLines/>
        <w:numPr>
          <w:ilvl w:val="7"/>
          <w:numId w:val="1"/>
        </w:numPr>
        <w:spacing w:after="0"/>
      </w:pPr>
      <w:r>
        <w:rPr>
          <w:rFonts w:ascii="Times New Roman"/>
          <w:sz w:val="24"/>
        </w:rPr>
        <w:t>Commencing in 2011, most Canadian PAEs are required to elect to report under either IFRS or ASPE on a prospective basis.</w:t>
      </w:r>
    </w:p>
    <w:p w14:paraId="0849290B" w14:textId="77777777" w:rsidR="00BE2376" w:rsidRDefault="00000000">
      <w:pPr>
        <w:keepNext/>
        <w:keepLines/>
        <w:numPr>
          <w:ilvl w:val="7"/>
          <w:numId w:val="1"/>
        </w:numPr>
        <w:spacing w:after="0"/>
      </w:pPr>
      <w:r>
        <w:rPr>
          <w:rFonts w:ascii="Times New Roman"/>
          <w:sz w:val="24"/>
        </w:rPr>
        <w:t>PAEs include an entity, that as one of its primary businesses, holds assets in a fiduciary capacity for a broad group of outsiders.</w:t>
      </w:r>
    </w:p>
    <w:p w14:paraId="79B82F1C" w14:textId="77777777" w:rsidR="00BE2376" w:rsidRDefault="00000000">
      <w:pPr>
        <w:keepNext/>
        <w:keepLines/>
        <w:numPr>
          <w:ilvl w:val="7"/>
          <w:numId w:val="1"/>
        </w:numPr>
        <w:spacing w:after="0"/>
      </w:pPr>
      <w:r>
        <w:rPr>
          <w:rFonts w:ascii="Times New Roman"/>
          <w:sz w:val="24"/>
        </w:rPr>
        <w:t>CPA Canada and the Financial Accounting Standards Board (FASB) harmonized the accounting standards of the United States and Canada for PAEs beginning in 1998.</w:t>
      </w:r>
    </w:p>
    <w:p w14:paraId="29F43424" w14:textId="77777777" w:rsidR="00BE2376" w:rsidRDefault="00BE2376">
      <w:pPr>
        <w:keepLines/>
        <w:spacing w:after="0"/>
      </w:pPr>
    </w:p>
    <w:p w14:paraId="1881235F" w14:textId="77777777" w:rsidR="00BE2376" w:rsidRDefault="00000000">
      <w:pPr>
        <w:keepNext/>
        <w:keepLines/>
        <w:numPr>
          <w:ilvl w:val="0"/>
          <w:numId w:val="1"/>
        </w:numPr>
        <w:spacing w:after="0"/>
      </w:pPr>
      <w:r>
        <w:rPr>
          <w:rFonts w:ascii="Times New Roman"/>
          <w:sz w:val="24"/>
        </w:rPr>
        <w:t>Which of the following statements pertaining to private enterprises (PEs) is INCORRECT?</w:t>
      </w:r>
    </w:p>
    <w:p w14:paraId="2D36A245" w14:textId="77777777" w:rsidR="00BE2376" w:rsidRDefault="00000000">
      <w:pPr>
        <w:keepNext/>
        <w:keepLines/>
        <w:numPr>
          <w:ilvl w:val="7"/>
          <w:numId w:val="1"/>
        </w:numPr>
        <w:spacing w:after="0"/>
      </w:pPr>
      <w:r>
        <w:rPr>
          <w:rFonts w:ascii="Times New Roman"/>
          <w:sz w:val="24"/>
        </w:rPr>
        <w:t>PEs may adopt either ASPE or IFRS but once a set of standards is adopted, the PEs are not permitted to apply some standards from ASPE and others from IFRS.</w:t>
      </w:r>
    </w:p>
    <w:p w14:paraId="23FBF1BB" w14:textId="77777777" w:rsidR="00BE2376" w:rsidRDefault="00000000">
      <w:pPr>
        <w:keepNext/>
        <w:keepLines/>
        <w:numPr>
          <w:ilvl w:val="7"/>
          <w:numId w:val="1"/>
        </w:numPr>
        <w:spacing w:after="0"/>
      </w:pPr>
      <w:r>
        <w:rPr>
          <w:rFonts w:ascii="Times New Roman"/>
          <w:sz w:val="24"/>
        </w:rPr>
        <w:t>The accounting standards for a PE are included in a separate part of the CPA Canada Handbook.</w:t>
      </w:r>
    </w:p>
    <w:p w14:paraId="13756369" w14:textId="77777777" w:rsidR="00BE2376" w:rsidRDefault="00000000">
      <w:pPr>
        <w:keepNext/>
        <w:keepLines/>
        <w:numPr>
          <w:ilvl w:val="7"/>
          <w:numId w:val="1"/>
        </w:numPr>
        <w:spacing w:after="0"/>
      </w:pPr>
      <w:r>
        <w:rPr>
          <w:rFonts w:ascii="Times New Roman"/>
          <w:sz w:val="24"/>
        </w:rPr>
        <w:t>PEs with annual revenues over $10,000,000, are required to report under IFRS.</w:t>
      </w:r>
    </w:p>
    <w:p w14:paraId="197369C5" w14:textId="77777777" w:rsidR="00BE2376" w:rsidRDefault="00000000">
      <w:pPr>
        <w:keepNext/>
        <w:keepLines/>
        <w:numPr>
          <w:ilvl w:val="7"/>
          <w:numId w:val="1"/>
        </w:numPr>
        <w:spacing w:after="0"/>
      </w:pPr>
      <w:r>
        <w:rPr>
          <w:rFonts w:ascii="Times New Roman"/>
          <w:sz w:val="24"/>
        </w:rPr>
        <w:t>A PE is a profit-oriented enterprise that has none of its issued and outstanding financial instruments traded in a public market and does not hold assets in a fiduciary capacity for a broad group of outsiders as one of its primary businesses.</w:t>
      </w:r>
    </w:p>
    <w:p w14:paraId="7BAD6E00" w14:textId="77777777" w:rsidR="00BE2376" w:rsidRDefault="00BE2376">
      <w:pPr>
        <w:keepLines/>
        <w:spacing w:after="0"/>
      </w:pPr>
    </w:p>
    <w:p w14:paraId="4761E21F" w14:textId="77777777" w:rsidR="00BE2376" w:rsidRDefault="00000000">
      <w:pPr>
        <w:keepNext/>
        <w:keepLines/>
        <w:numPr>
          <w:ilvl w:val="0"/>
          <w:numId w:val="1"/>
        </w:numPr>
        <w:spacing w:after="0"/>
      </w:pPr>
      <w:r>
        <w:rPr>
          <w:rFonts w:ascii="Times New Roman"/>
          <w:sz w:val="24"/>
        </w:rPr>
        <w:t>Which of the following organizations are required to use only the IFRS (Part I) in Canada?</w:t>
      </w:r>
    </w:p>
    <w:p w14:paraId="112C9D4D" w14:textId="77777777" w:rsidR="00BE2376" w:rsidRDefault="00000000">
      <w:pPr>
        <w:keepNext/>
        <w:keepLines/>
        <w:numPr>
          <w:ilvl w:val="7"/>
          <w:numId w:val="1"/>
        </w:numPr>
        <w:spacing w:after="0"/>
      </w:pPr>
      <w:r>
        <w:rPr>
          <w:rFonts w:ascii="Times New Roman"/>
          <w:sz w:val="24"/>
        </w:rPr>
        <w:t>All corporations, government agencies and private companies.</w:t>
      </w:r>
    </w:p>
    <w:p w14:paraId="779B44DF" w14:textId="77777777" w:rsidR="00BE2376" w:rsidRDefault="00000000">
      <w:pPr>
        <w:keepNext/>
        <w:keepLines/>
        <w:numPr>
          <w:ilvl w:val="7"/>
          <w:numId w:val="1"/>
        </w:numPr>
        <w:spacing w:after="0"/>
      </w:pPr>
      <w:r>
        <w:rPr>
          <w:rFonts w:ascii="Times New Roman"/>
          <w:color w:val="000000"/>
          <w:sz w:val="24"/>
        </w:rPr>
        <w:t>Public companies and private companies whose shareholders' equity is in excess of $500,000,000 at any particular year-end.</w:t>
      </w:r>
    </w:p>
    <w:p w14:paraId="1AAE1E2B" w14:textId="77777777" w:rsidR="00BE2376" w:rsidRDefault="00000000">
      <w:pPr>
        <w:keepNext/>
        <w:keepLines/>
        <w:numPr>
          <w:ilvl w:val="7"/>
          <w:numId w:val="1"/>
        </w:numPr>
        <w:spacing w:after="0"/>
      </w:pPr>
      <w:r>
        <w:rPr>
          <w:rFonts w:ascii="Times New Roman"/>
          <w:sz w:val="24"/>
        </w:rPr>
        <w:t>Public companies, private companies and not-for-profit organizations.</w:t>
      </w:r>
    </w:p>
    <w:p w14:paraId="24C8148A" w14:textId="77777777" w:rsidR="00BE2376" w:rsidRDefault="00000000">
      <w:pPr>
        <w:keepNext/>
        <w:keepLines/>
        <w:numPr>
          <w:ilvl w:val="7"/>
          <w:numId w:val="1"/>
        </w:numPr>
        <w:spacing w:after="0"/>
      </w:pPr>
      <w:r>
        <w:rPr>
          <w:rFonts w:ascii="Times New Roman"/>
          <w:sz w:val="24"/>
        </w:rPr>
        <w:t>Government business enterprises.</w:t>
      </w:r>
    </w:p>
    <w:p w14:paraId="2AC8BF76" w14:textId="77777777" w:rsidR="00BE2376" w:rsidRDefault="00BE2376">
      <w:pPr>
        <w:keepLines/>
        <w:spacing w:after="0"/>
      </w:pPr>
    </w:p>
    <w:p w14:paraId="7265D6B9" w14:textId="77777777" w:rsidR="00BE2376" w:rsidRDefault="00000000">
      <w:pPr>
        <w:keepNext/>
        <w:keepLines/>
        <w:numPr>
          <w:ilvl w:val="0"/>
          <w:numId w:val="1"/>
        </w:numPr>
        <w:spacing w:after="0"/>
      </w:pPr>
      <w:r>
        <w:rPr>
          <w:rFonts w:ascii="Times New Roman"/>
          <w:sz w:val="24"/>
        </w:rPr>
        <w:lastRenderedPageBreak/>
        <w:t>Which of the following statements pertaining to Not-for-Profit-Organizations (NFPO) is INCORRECT?</w:t>
      </w:r>
    </w:p>
    <w:p w14:paraId="47EB74A3" w14:textId="77777777" w:rsidR="00BE2376" w:rsidRDefault="00000000">
      <w:pPr>
        <w:keepNext/>
        <w:keepLines/>
        <w:numPr>
          <w:ilvl w:val="7"/>
          <w:numId w:val="1"/>
        </w:numPr>
        <w:spacing w:after="0"/>
      </w:pPr>
      <w:r>
        <w:rPr>
          <w:rFonts w:ascii="Times New Roman"/>
          <w:color w:val="000000"/>
          <w:sz w:val="24"/>
        </w:rPr>
        <w:t xml:space="preserve">A government NFPO has the choice to follow either the 4200 series of the CPA Canada </w:t>
      </w:r>
      <w:r>
        <w:rPr>
          <w:rFonts w:ascii="Times New Roman"/>
          <w:i/>
          <w:color w:val="000000"/>
          <w:sz w:val="24"/>
        </w:rPr>
        <w:t>Public</w:t>
      </w:r>
      <w:r>
        <w:rPr>
          <w:rFonts w:ascii="Times New Roman"/>
          <w:color w:val="000000"/>
          <w:sz w:val="24"/>
        </w:rPr>
        <w:t xml:space="preserve"> </w:t>
      </w:r>
      <w:r>
        <w:rPr>
          <w:rFonts w:ascii="Times New Roman"/>
          <w:i/>
          <w:color w:val="000000"/>
          <w:sz w:val="24"/>
        </w:rPr>
        <w:t>Sector</w:t>
      </w:r>
      <w:r>
        <w:rPr>
          <w:rFonts w:ascii="Times New Roman"/>
          <w:color w:val="000000"/>
          <w:sz w:val="24"/>
        </w:rPr>
        <w:t xml:space="preserve"> </w:t>
      </w:r>
      <w:r>
        <w:rPr>
          <w:rFonts w:ascii="Times New Roman"/>
          <w:i/>
          <w:color w:val="000000"/>
          <w:sz w:val="24"/>
        </w:rPr>
        <w:t>Accounting</w:t>
      </w:r>
      <w:r>
        <w:rPr>
          <w:rFonts w:ascii="Times New Roman"/>
          <w:color w:val="000000"/>
          <w:sz w:val="24"/>
        </w:rPr>
        <w:t xml:space="preserve"> </w:t>
      </w:r>
      <w:r>
        <w:rPr>
          <w:rFonts w:ascii="Times New Roman"/>
          <w:i/>
          <w:color w:val="000000"/>
          <w:sz w:val="24"/>
        </w:rPr>
        <w:t>(PSA)</w:t>
      </w:r>
      <w:r>
        <w:rPr>
          <w:rFonts w:ascii="Times New Roman"/>
          <w:color w:val="000000"/>
          <w:sz w:val="24"/>
        </w:rPr>
        <w:t xml:space="preserve"> </w:t>
      </w:r>
      <w:r>
        <w:rPr>
          <w:rFonts w:ascii="Times New Roman"/>
          <w:i/>
          <w:color w:val="000000"/>
          <w:sz w:val="24"/>
        </w:rPr>
        <w:t>Handbook</w:t>
      </w:r>
      <w:r>
        <w:rPr>
          <w:rFonts w:ascii="Times New Roman"/>
          <w:color w:val="000000"/>
          <w:sz w:val="24"/>
        </w:rPr>
        <w:t xml:space="preserve"> or </w:t>
      </w:r>
      <w:r>
        <w:rPr>
          <w:rFonts w:ascii="Times New Roman"/>
          <w:i/>
          <w:color w:val="000000"/>
          <w:sz w:val="24"/>
        </w:rPr>
        <w:t>the</w:t>
      </w:r>
      <w:r>
        <w:rPr>
          <w:rFonts w:ascii="Times New Roman"/>
          <w:color w:val="000000"/>
          <w:sz w:val="24"/>
        </w:rPr>
        <w:t xml:space="preserve"> </w:t>
      </w:r>
      <w:r>
        <w:rPr>
          <w:rFonts w:ascii="Times New Roman"/>
          <w:i/>
          <w:color w:val="000000"/>
          <w:sz w:val="24"/>
        </w:rPr>
        <w:t>PSA</w:t>
      </w:r>
      <w:r>
        <w:rPr>
          <w:rFonts w:ascii="Times New Roman"/>
          <w:color w:val="000000"/>
          <w:sz w:val="24"/>
        </w:rPr>
        <w:t xml:space="preserve"> </w:t>
      </w:r>
      <w:r>
        <w:rPr>
          <w:rFonts w:ascii="Times New Roman"/>
          <w:i/>
          <w:color w:val="000000"/>
          <w:sz w:val="24"/>
        </w:rPr>
        <w:t>Handbook</w:t>
      </w:r>
      <w:r>
        <w:rPr>
          <w:rFonts w:ascii="Times New Roman"/>
          <w:color w:val="000000"/>
          <w:sz w:val="24"/>
        </w:rPr>
        <w:t xml:space="preserve"> without the 4200 series.</w:t>
      </w:r>
    </w:p>
    <w:p w14:paraId="2EE66DC1" w14:textId="77777777" w:rsidR="00BE2376" w:rsidRDefault="00000000">
      <w:pPr>
        <w:keepNext/>
        <w:keepLines/>
        <w:numPr>
          <w:ilvl w:val="7"/>
          <w:numId w:val="1"/>
        </w:numPr>
        <w:spacing w:after="0"/>
      </w:pPr>
      <w:r>
        <w:rPr>
          <w:rFonts w:ascii="Times New Roman"/>
          <w:color w:val="000000"/>
          <w:sz w:val="24"/>
        </w:rPr>
        <w:t xml:space="preserve">A non-government NFPO has a choice to follow Part I (IFRS) or Part III of </w:t>
      </w:r>
      <w:r>
        <w:rPr>
          <w:rFonts w:ascii="Times New Roman"/>
          <w:i/>
          <w:color w:val="000000"/>
          <w:sz w:val="24"/>
        </w:rPr>
        <w:t>the</w:t>
      </w:r>
      <w:r>
        <w:rPr>
          <w:rFonts w:ascii="Times New Roman"/>
          <w:color w:val="000000"/>
          <w:sz w:val="24"/>
        </w:rPr>
        <w:t xml:space="preserve"> </w:t>
      </w:r>
      <w:r>
        <w:rPr>
          <w:rFonts w:ascii="Times New Roman"/>
          <w:i/>
          <w:color w:val="000000"/>
          <w:sz w:val="24"/>
        </w:rPr>
        <w:t>CPA</w:t>
      </w:r>
      <w:r>
        <w:rPr>
          <w:rFonts w:ascii="Times New Roman"/>
          <w:color w:val="000000"/>
          <w:sz w:val="24"/>
        </w:rPr>
        <w:t xml:space="preserve"> </w:t>
      </w:r>
      <w:r>
        <w:rPr>
          <w:rFonts w:ascii="Times New Roman"/>
          <w:i/>
          <w:color w:val="000000"/>
          <w:sz w:val="24"/>
        </w:rPr>
        <w:t>Canada</w:t>
      </w:r>
      <w:r>
        <w:rPr>
          <w:rFonts w:ascii="Times New Roman"/>
          <w:color w:val="000000"/>
          <w:sz w:val="24"/>
        </w:rPr>
        <w:t xml:space="preserve"> </w:t>
      </w:r>
      <w:r>
        <w:rPr>
          <w:rFonts w:ascii="Times New Roman"/>
          <w:i/>
          <w:color w:val="000000"/>
          <w:sz w:val="24"/>
        </w:rPr>
        <w:t>Handbook</w:t>
      </w:r>
      <w:r>
        <w:rPr>
          <w:rFonts w:ascii="Times New Roman"/>
          <w:color w:val="000000"/>
          <w:sz w:val="24"/>
        </w:rPr>
        <w:t>.</w:t>
      </w:r>
    </w:p>
    <w:p w14:paraId="590D451A" w14:textId="77777777" w:rsidR="00BE2376" w:rsidRDefault="00000000">
      <w:pPr>
        <w:keepNext/>
        <w:keepLines/>
        <w:numPr>
          <w:ilvl w:val="7"/>
          <w:numId w:val="1"/>
        </w:numPr>
        <w:spacing w:after="0"/>
      </w:pPr>
      <w:r>
        <w:rPr>
          <w:rFonts w:ascii="Times New Roman"/>
          <w:color w:val="000000"/>
          <w:sz w:val="24"/>
        </w:rPr>
        <w:t xml:space="preserve">A government NFPO has a choice to follow Part I (IFRS) of the </w:t>
      </w:r>
      <w:r>
        <w:rPr>
          <w:rFonts w:ascii="Times New Roman"/>
          <w:i/>
          <w:color w:val="000000"/>
          <w:sz w:val="24"/>
        </w:rPr>
        <w:t>CPA</w:t>
      </w:r>
      <w:r>
        <w:rPr>
          <w:rFonts w:ascii="Times New Roman"/>
          <w:color w:val="000000"/>
          <w:sz w:val="24"/>
        </w:rPr>
        <w:t xml:space="preserve"> </w:t>
      </w:r>
      <w:r>
        <w:rPr>
          <w:rFonts w:ascii="Times New Roman"/>
          <w:i/>
          <w:color w:val="000000"/>
          <w:sz w:val="24"/>
        </w:rPr>
        <w:t>Canada</w:t>
      </w:r>
      <w:r>
        <w:rPr>
          <w:rFonts w:ascii="Times New Roman"/>
          <w:color w:val="000000"/>
          <w:sz w:val="24"/>
        </w:rPr>
        <w:t xml:space="preserve"> </w:t>
      </w:r>
      <w:r>
        <w:rPr>
          <w:rFonts w:ascii="Times New Roman"/>
          <w:i/>
          <w:color w:val="000000"/>
          <w:sz w:val="24"/>
        </w:rPr>
        <w:t>Handbook</w:t>
      </w:r>
      <w:r>
        <w:rPr>
          <w:rFonts w:ascii="Times New Roman"/>
          <w:color w:val="000000"/>
          <w:sz w:val="24"/>
        </w:rPr>
        <w:t xml:space="preserve"> or the CPA Canada </w:t>
      </w:r>
      <w:r>
        <w:rPr>
          <w:rFonts w:ascii="Times New Roman"/>
          <w:i/>
          <w:color w:val="000000"/>
          <w:sz w:val="24"/>
        </w:rPr>
        <w:t>Public</w:t>
      </w:r>
      <w:r>
        <w:rPr>
          <w:rFonts w:ascii="Times New Roman"/>
          <w:color w:val="000000"/>
          <w:sz w:val="24"/>
        </w:rPr>
        <w:t xml:space="preserve"> </w:t>
      </w:r>
      <w:r>
        <w:rPr>
          <w:rFonts w:ascii="Times New Roman"/>
          <w:i/>
          <w:color w:val="000000"/>
          <w:sz w:val="24"/>
        </w:rPr>
        <w:t>Sector</w:t>
      </w:r>
      <w:r>
        <w:rPr>
          <w:rFonts w:ascii="Times New Roman"/>
          <w:color w:val="000000"/>
          <w:sz w:val="24"/>
        </w:rPr>
        <w:t xml:space="preserve"> </w:t>
      </w:r>
      <w:r>
        <w:rPr>
          <w:rFonts w:ascii="Times New Roman"/>
          <w:i/>
          <w:color w:val="000000"/>
          <w:sz w:val="24"/>
        </w:rPr>
        <w:t>Accounting</w:t>
      </w:r>
      <w:r>
        <w:rPr>
          <w:rFonts w:ascii="Times New Roman"/>
          <w:color w:val="000000"/>
          <w:sz w:val="24"/>
        </w:rPr>
        <w:t xml:space="preserve"> </w:t>
      </w:r>
      <w:r>
        <w:rPr>
          <w:rFonts w:ascii="Times New Roman"/>
          <w:i/>
          <w:color w:val="000000"/>
          <w:sz w:val="24"/>
        </w:rPr>
        <w:t>Handbook</w:t>
      </w:r>
      <w:r>
        <w:rPr>
          <w:rFonts w:ascii="Times New Roman"/>
          <w:color w:val="000000"/>
          <w:sz w:val="24"/>
        </w:rPr>
        <w:t>.</w:t>
      </w:r>
    </w:p>
    <w:p w14:paraId="6D20D4ED" w14:textId="77777777" w:rsidR="00BE2376" w:rsidRDefault="00000000">
      <w:pPr>
        <w:keepNext/>
        <w:keepLines/>
        <w:numPr>
          <w:ilvl w:val="7"/>
          <w:numId w:val="1"/>
        </w:numPr>
        <w:spacing w:after="0"/>
      </w:pPr>
      <w:r>
        <w:rPr>
          <w:rFonts w:ascii="Times New Roman"/>
          <w:color w:val="000000"/>
          <w:sz w:val="24"/>
        </w:rPr>
        <w:t xml:space="preserve">A non-government NFPO that applies Part III of the </w:t>
      </w:r>
      <w:r>
        <w:rPr>
          <w:rFonts w:ascii="Times New Roman"/>
          <w:i/>
          <w:color w:val="000000"/>
          <w:sz w:val="24"/>
        </w:rPr>
        <w:t>CPA</w:t>
      </w:r>
      <w:r>
        <w:rPr>
          <w:rFonts w:ascii="Times New Roman"/>
          <w:color w:val="000000"/>
          <w:sz w:val="24"/>
        </w:rPr>
        <w:t xml:space="preserve"> </w:t>
      </w:r>
      <w:r>
        <w:rPr>
          <w:rFonts w:ascii="Times New Roman"/>
          <w:i/>
          <w:color w:val="000000"/>
          <w:sz w:val="24"/>
        </w:rPr>
        <w:t>Canada</w:t>
      </w:r>
      <w:r>
        <w:rPr>
          <w:rFonts w:ascii="Times New Roman"/>
          <w:color w:val="000000"/>
          <w:sz w:val="24"/>
        </w:rPr>
        <w:t xml:space="preserve"> </w:t>
      </w:r>
      <w:r>
        <w:rPr>
          <w:rFonts w:ascii="Times New Roman"/>
          <w:i/>
          <w:color w:val="000000"/>
          <w:sz w:val="24"/>
        </w:rPr>
        <w:t>Handbook</w:t>
      </w:r>
      <w:r>
        <w:rPr>
          <w:rFonts w:ascii="Times New Roman"/>
          <w:color w:val="000000"/>
          <w:sz w:val="24"/>
        </w:rPr>
        <w:t xml:space="preserve"> will also apply relevant sections from Part II (ASPE) of the </w:t>
      </w:r>
      <w:r>
        <w:rPr>
          <w:rFonts w:ascii="Times New Roman"/>
          <w:i/>
          <w:color w:val="000000"/>
          <w:sz w:val="24"/>
        </w:rPr>
        <w:t>CPA</w:t>
      </w:r>
      <w:r>
        <w:rPr>
          <w:rFonts w:ascii="Times New Roman"/>
          <w:color w:val="000000"/>
          <w:sz w:val="24"/>
        </w:rPr>
        <w:t xml:space="preserve"> </w:t>
      </w:r>
      <w:r>
        <w:rPr>
          <w:rFonts w:ascii="Times New Roman"/>
          <w:i/>
          <w:color w:val="000000"/>
          <w:sz w:val="24"/>
        </w:rPr>
        <w:t>Canada</w:t>
      </w:r>
      <w:r>
        <w:rPr>
          <w:rFonts w:ascii="Times New Roman"/>
          <w:color w:val="000000"/>
          <w:sz w:val="24"/>
        </w:rPr>
        <w:t xml:space="preserve"> </w:t>
      </w:r>
      <w:r>
        <w:rPr>
          <w:rFonts w:ascii="Times New Roman"/>
          <w:i/>
          <w:color w:val="000000"/>
          <w:sz w:val="24"/>
        </w:rPr>
        <w:t>Handbook</w:t>
      </w:r>
      <w:r>
        <w:rPr>
          <w:rFonts w:ascii="Times New Roman"/>
          <w:color w:val="000000"/>
          <w:sz w:val="24"/>
        </w:rPr>
        <w:t>.</w:t>
      </w:r>
    </w:p>
    <w:p w14:paraId="1F958A2D" w14:textId="77777777" w:rsidR="00BE2376" w:rsidRDefault="00BE2376">
      <w:pPr>
        <w:keepLines/>
        <w:spacing w:after="0"/>
      </w:pPr>
    </w:p>
    <w:p w14:paraId="46E2A069" w14:textId="77777777" w:rsidR="00BE2376" w:rsidRDefault="00000000">
      <w:pPr>
        <w:keepNext/>
        <w:keepLines/>
        <w:numPr>
          <w:ilvl w:val="0"/>
          <w:numId w:val="1"/>
        </w:numPr>
        <w:spacing w:after="0"/>
      </w:pPr>
      <w:r>
        <w:rPr>
          <w:rFonts w:ascii="Times New Roman"/>
          <w:color w:val="000000"/>
          <w:sz w:val="24"/>
        </w:rPr>
        <w:t xml:space="preserve">For which of the following types of organizations does the </w:t>
      </w:r>
      <w:r>
        <w:rPr>
          <w:rFonts w:ascii="Times New Roman"/>
          <w:i/>
          <w:color w:val="000000"/>
          <w:sz w:val="24"/>
        </w:rPr>
        <w:t>CPA</w:t>
      </w:r>
      <w:r>
        <w:rPr>
          <w:rFonts w:ascii="Times New Roman"/>
          <w:color w:val="000000"/>
          <w:sz w:val="24"/>
        </w:rPr>
        <w:t xml:space="preserve"> </w:t>
      </w:r>
      <w:r>
        <w:rPr>
          <w:rFonts w:ascii="Times New Roman"/>
          <w:i/>
          <w:color w:val="000000"/>
          <w:sz w:val="24"/>
        </w:rPr>
        <w:t>Canada</w:t>
      </w:r>
      <w:r>
        <w:rPr>
          <w:rFonts w:ascii="Times New Roman"/>
          <w:color w:val="000000"/>
          <w:sz w:val="24"/>
        </w:rPr>
        <w:t xml:space="preserve"> </w:t>
      </w:r>
      <w:r>
        <w:rPr>
          <w:rFonts w:ascii="Times New Roman"/>
          <w:i/>
          <w:color w:val="000000"/>
          <w:sz w:val="24"/>
        </w:rPr>
        <w:t>Handbook</w:t>
      </w:r>
      <w:r>
        <w:rPr>
          <w:rFonts w:ascii="Times New Roman"/>
          <w:color w:val="000000"/>
          <w:sz w:val="24"/>
        </w:rPr>
        <w:t xml:space="preserve"> NOT provide specific accounting standards?</w:t>
      </w:r>
    </w:p>
    <w:p w14:paraId="7F30C198" w14:textId="77777777" w:rsidR="00BE2376" w:rsidRDefault="00000000">
      <w:pPr>
        <w:keepNext/>
        <w:keepLines/>
        <w:numPr>
          <w:ilvl w:val="7"/>
          <w:numId w:val="1"/>
        </w:numPr>
        <w:spacing w:after="0"/>
      </w:pPr>
      <w:r>
        <w:rPr>
          <w:rFonts w:ascii="Times New Roman"/>
          <w:sz w:val="24"/>
        </w:rPr>
        <w:t>Publicly accountable enterprises.</w:t>
      </w:r>
    </w:p>
    <w:p w14:paraId="0C7FE22D" w14:textId="77777777" w:rsidR="00BE2376" w:rsidRDefault="00000000">
      <w:pPr>
        <w:keepNext/>
        <w:keepLines/>
        <w:numPr>
          <w:ilvl w:val="7"/>
          <w:numId w:val="1"/>
        </w:numPr>
        <w:spacing w:after="0"/>
      </w:pPr>
      <w:r>
        <w:rPr>
          <w:rFonts w:ascii="Times New Roman"/>
          <w:sz w:val="24"/>
        </w:rPr>
        <w:t>Private enterprises.</w:t>
      </w:r>
    </w:p>
    <w:p w14:paraId="211498DD" w14:textId="77777777" w:rsidR="00BE2376" w:rsidRDefault="00000000">
      <w:pPr>
        <w:keepNext/>
        <w:keepLines/>
        <w:numPr>
          <w:ilvl w:val="7"/>
          <w:numId w:val="1"/>
        </w:numPr>
        <w:spacing w:after="0"/>
      </w:pPr>
      <w:r>
        <w:rPr>
          <w:rFonts w:ascii="Times New Roman"/>
          <w:sz w:val="24"/>
        </w:rPr>
        <w:t>Not-for-profit organizations.</w:t>
      </w:r>
    </w:p>
    <w:p w14:paraId="2E3918D3" w14:textId="77777777" w:rsidR="00BE2376" w:rsidRDefault="00000000">
      <w:pPr>
        <w:keepNext/>
        <w:keepLines/>
        <w:numPr>
          <w:ilvl w:val="7"/>
          <w:numId w:val="1"/>
        </w:numPr>
        <w:spacing w:after="0"/>
      </w:pPr>
      <w:r>
        <w:rPr>
          <w:rFonts w:ascii="Times New Roman"/>
          <w:sz w:val="24"/>
        </w:rPr>
        <w:t>Proprietorships.</w:t>
      </w:r>
    </w:p>
    <w:p w14:paraId="5F7A1584" w14:textId="77777777" w:rsidR="00BE2376" w:rsidRDefault="00BE2376">
      <w:pPr>
        <w:keepLines/>
        <w:spacing w:after="0"/>
      </w:pPr>
    </w:p>
    <w:p w14:paraId="69985200" w14:textId="77777777" w:rsidR="00BE2376" w:rsidRDefault="00000000">
      <w:pPr>
        <w:keepNext/>
        <w:keepLines/>
        <w:numPr>
          <w:ilvl w:val="0"/>
          <w:numId w:val="1"/>
        </w:numPr>
        <w:spacing w:after="0"/>
      </w:pPr>
      <w:r>
        <w:rPr>
          <w:rFonts w:ascii="Times New Roman"/>
          <w:sz w:val="24"/>
        </w:rPr>
        <w:t>Which of the following is NOT a reason why a Canadian private company would elect to report under IFRS?</w:t>
      </w:r>
    </w:p>
    <w:p w14:paraId="138EBD2B" w14:textId="77777777" w:rsidR="00BE2376" w:rsidRDefault="00000000">
      <w:pPr>
        <w:keepNext/>
        <w:keepLines/>
        <w:numPr>
          <w:ilvl w:val="7"/>
          <w:numId w:val="1"/>
        </w:numPr>
        <w:spacing w:after="0"/>
      </w:pPr>
      <w:r>
        <w:rPr>
          <w:rFonts w:ascii="Times New Roman"/>
          <w:sz w:val="24"/>
        </w:rPr>
        <w:t>The company is planning to go public in the near future.</w:t>
      </w:r>
    </w:p>
    <w:p w14:paraId="65FBD510" w14:textId="77777777" w:rsidR="00BE2376" w:rsidRDefault="00000000">
      <w:pPr>
        <w:keepNext/>
        <w:keepLines/>
        <w:numPr>
          <w:ilvl w:val="7"/>
          <w:numId w:val="1"/>
        </w:numPr>
        <w:spacing w:after="0"/>
      </w:pPr>
      <w:r>
        <w:rPr>
          <w:rFonts w:ascii="Times New Roman"/>
          <w:sz w:val="24"/>
        </w:rPr>
        <w:t>The company seeks comparability with public companies of a similar size.</w:t>
      </w:r>
    </w:p>
    <w:p w14:paraId="0929BABB" w14:textId="77777777" w:rsidR="00BE2376" w:rsidRDefault="00000000">
      <w:pPr>
        <w:keepNext/>
        <w:keepLines/>
        <w:numPr>
          <w:ilvl w:val="7"/>
          <w:numId w:val="1"/>
        </w:numPr>
        <w:spacing w:after="0"/>
      </w:pPr>
      <w:r>
        <w:rPr>
          <w:rFonts w:ascii="Times New Roman"/>
          <w:sz w:val="24"/>
        </w:rPr>
        <w:t>It is likely to be less expensive than reporting under ASPE.</w:t>
      </w:r>
    </w:p>
    <w:p w14:paraId="20ED4B56" w14:textId="77777777" w:rsidR="00BE2376" w:rsidRDefault="00000000">
      <w:pPr>
        <w:keepNext/>
        <w:keepLines/>
        <w:numPr>
          <w:ilvl w:val="7"/>
          <w:numId w:val="1"/>
        </w:numPr>
        <w:spacing w:after="0"/>
      </w:pPr>
      <w:r>
        <w:rPr>
          <w:rFonts w:ascii="Times New Roman"/>
          <w:sz w:val="24"/>
        </w:rPr>
        <w:t>The company is a subsidiary of a Canadian public company.</w:t>
      </w:r>
    </w:p>
    <w:p w14:paraId="4A6FECF2" w14:textId="77777777" w:rsidR="00BE2376" w:rsidRDefault="00BE2376">
      <w:pPr>
        <w:keepLines/>
        <w:spacing w:after="0"/>
      </w:pPr>
    </w:p>
    <w:p w14:paraId="42E1DD6D" w14:textId="77777777" w:rsidR="00BE2376" w:rsidRDefault="00000000">
      <w:pPr>
        <w:keepNext/>
        <w:keepLines/>
        <w:numPr>
          <w:ilvl w:val="0"/>
          <w:numId w:val="1"/>
        </w:numPr>
        <w:spacing w:after="0"/>
      </w:pPr>
      <w:r>
        <w:rPr>
          <w:rFonts w:ascii="Times New Roman"/>
          <w:sz w:val="24"/>
        </w:rPr>
        <w:t>The current ratio measures:</w:t>
      </w:r>
    </w:p>
    <w:p w14:paraId="6DF86C72" w14:textId="77777777" w:rsidR="00BE2376" w:rsidRDefault="00000000">
      <w:pPr>
        <w:keepNext/>
        <w:keepLines/>
        <w:numPr>
          <w:ilvl w:val="7"/>
          <w:numId w:val="1"/>
        </w:numPr>
        <w:spacing w:after="0"/>
      </w:pPr>
      <w:r>
        <w:rPr>
          <w:rFonts w:ascii="Times New Roman"/>
          <w:sz w:val="24"/>
        </w:rPr>
        <w:t>liquidity.</w:t>
      </w:r>
    </w:p>
    <w:p w14:paraId="6E65470D" w14:textId="77777777" w:rsidR="00BE2376" w:rsidRDefault="00000000">
      <w:pPr>
        <w:keepNext/>
        <w:keepLines/>
        <w:numPr>
          <w:ilvl w:val="7"/>
          <w:numId w:val="1"/>
        </w:numPr>
        <w:spacing w:after="0"/>
      </w:pPr>
      <w:r>
        <w:rPr>
          <w:rFonts w:ascii="Times New Roman"/>
          <w:sz w:val="24"/>
        </w:rPr>
        <w:t>solvency.</w:t>
      </w:r>
    </w:p>
    <w:p w14:paraId="3E639E75" w14:textId="77777777" w:rsidR="00BE2376" w:rsidRDefault="00000000">
      <w:pPr>
        <w:keepNext/>
        <w:keepLines/>
        <w:numPr>
          <w:ilvl w:val="7"/>
          <w:numId w:val="1"/>
        </w:numPr>
        <w:spacing w:after="0"/>
      </w:pPr>
      <w:r>
        <w:rPr>
          <w:rFonts w:ascii="Times New Roman"/>
          <w:sz w:val="24"/>
        </w:rPr>
        <w:t>profitability of assets.</w:t>
      </w:r>
    </w:p>
    <w:p w14:paraId="0EC2B52A" w14:textId="77777777" w:rsidR="00BE2376" w:rsidRDefault="00000000">
      <w:pPr>
        <w:keepNext/>
        <w:keepLines/>
        <w:numPr>
          <w:ilvl w:val="7"/>
          <w:numId w:val="1"/>
        </w:numPr>
        <w:spacing w:after="0"/>
      </w:pPr>
      <w:r>
        <w:rPr>
          <w:rFonts w:ascii="Times New Roman"/>
          <w:color w:val="000000"/>
          <w:sz w:val="24"/>
        </w:rPr>
        <w:t>profitability of owners' investment.</w:t>
      </w:r>
    </w:p>
    <w:p w14:paraId="5EACCABF" w14:textId="77777777" w:rsidR="00BE2376" w:rsidRDefault="00BE2376">
      <w:pPr>
        <w:keepLines/>
        <w:spacing w:after="0"/>
      </w:pPr>
    </w:p>
    <w:p w14:paraId="25EAEDF6" w14:textId="77777777" w:rsidR="00BE2376" w:rsidRDefault="00000000">
      <w:pPr>
        <w:keepNext/>
        <w:keepLines/>
        <w:numPr>
          <w:ilvl w:val="0"/>
          <w:numId w:val="1"/>
        </w:numPr>
        <w:spacing w:after="0"/>
      </w:pPr>
      <w:r>
        <w:rPr>
          <w:rFonts w:ascii="Times New Roman"/>
          <w:sz w:val="24"/>
        </w:rPr>
        <w:t>The formula for the current ratio is:</w:t>
      </w:r>
    </w:p>
    <w:p w14:paraId="40B7B169" w14:textId="77777777" w:rsidR="00BE2376" w:rsidRDefault="00000000">
      <w:pPr>
        <w:keepNext/>
        <w:keepLines/>
        <w:numPr>
          <w:ilvl w:val="7"/>
          <w:numId w:val="1"/>
        </w:numPr>
        <w:spacing w:after="0"/>
      </w:pPr>
      <w:r>
        <w:rPr>
          <w:rFonts w:ascii="Times New Roman"/>
          <w:sz w:val="24"/>
        </w:rPr>
        <w:t>current assets - current liabilities</w:t>
      </w:r>
    </w:p>
    <w:p w14:paraId="621DE814" w14:textId="77777777" w:rsidR="00BE2376" w:rsidRDefault="00000000">
      <w:pPr>
        <w:keepNext/>
        <w:keepLines/>
        <w:numPr>
          <w:ilvl w:val="7"/>
          <w:numId w:val="1"/>
        </w:numPr>
        <w:spacing w:after="0"/>
      </w:pPr>
      <w:r>
        <w:rPr>
          <w:rFonts w:ascii="Times New Roman"/>
          <w:sz w:val="24"/>
        </w:rPr>
        <w:t>current assets/current liabilities</w:t>
      </w:r>
    </w:p>
    <w:p w14:paraId="305D266D" w14:textId="77777777" w:rsidR="00BE2376" w:rsidRDefault="00000000">
      <w:pPr>
        <w:keepNext/>
        <w:keepLines/>
        <w:numPr>
          <w:ilvl w:val="7"/>
          <w:numId w:val="1"/>
        </w:numPr>
        <w:spacing w:after="0"/>
      </w:pPr>
      <w:r>
        <w:rPr>
          <w:rFonts w:ascii="Times New Roman"/>
          <w:color w:val="000000"/>
          <w:sz w:val="24"/>
        </w:rPr>
        <w:t>total debt/shareholders' equity</w:t>
      </w:r>
    </w:p>
    <w:p w14:paraId="0097F14D" w14:textId="77777777" w:rsidR="00BE2376" w:rsidRDefault="00000000">
      <w:pPr>
        <w:keepNext/>
        <w:keepLines/>
        <w:numPr>
          <w:ilvl w:val="7"/>
          <w:numId w:val="1"/>
        </w:numPr>
        <w:spacing w:after="0"/>
      </w:pPr>
      <w:r>
        <w:rPr>
          <w:rFonts w:ascii="Times New Roman"/>
          <w:color w:val="000000"/>
          <w:sz w:val="24"/>
        </w:rPr>
        <w:t>net income/shareholders' equity</w:t>
      </w:r>
    </w:p>
    <w:p w14:paraId="6010D84F" w14:textId="77777777" w:rsidR="00BE2376" w:rsidRDefault="00BE2376">
      <w:pPr>
        <w:keepLines/>
        <w:spacing w:after="0"/>
      </w:pPr>
    </w:p>
    <w:p w14:paraId="01473787" w14:textId="77777777" w:rsidR="00BE2376" w:rsidRDefault="00000000">
      <w:pPr>
        <w:keepNext/>
        <w:keepLines/>
        <w:numPr>
          <w:ilvl w:val="0"/>
          <w:numId w:val="1"/>
        </w:numPr>
        <w:spacing w:after="0"/>
      </w:pPr>
      <w:r>
        <w:rPr>
          <w:rFonts w:ascii="Times New Roman"/>
          <w:sz w:val="24"/>
        </w:rPr>
        <w:lastRenderedPageBreak/>
        <w:t>The debt-to-equity ratio measures:</w:t>
      </w:r>
    </w:p>
    <w:p w14:paraId="2429F968" w14:textId="77777777" w:rsidR="00BE2376" w:rsidRDefault="00000000">
      <w:pPr>
        <w:keepNext/>
        <w:keepLines/>
        <w:numPr>
          <w:ilvl w:val="7"/>
          <w:numId w:val="1"/>
        </w:numPr>
        <w:spacing w:after="0"/>
      </w:pPr>
      <w:r>
        <w:rPr>
          <w:rFonts w:ascii="Times New Roman"/>
          <w:sz w:val="24"/>
        </w:rPr>
        <w:t>liquidity.</w:t>
      </w:r>
    </w:p>
    <w:p w14:paraId="7951C992" w14:textId="77777777" w:rsidR="00BE2376" w:rsidRDefault="00000000">
      <w:pPr>
        <w:keepNext/>
        <w:keepLines/>
        <w:numPr>
          <w:ilvl w:val="7"/>
          <w:numId w:val="1"/>
        </w:numPr>
        <w:spacing w:after="0"/>
      </w:pPr>
      <w:r>
        <w:rPr>
          <w:rFonts w:ascii="Times New Roman"/>
          <w:sz w:val="24"/>
        </w:rPr>
        <w:t>solvency.</w:t>
      </w:r>
    </w:p>
    <w:p w14:paraId="51AED39F" w14:textId="77777777" w:rsidR="00BE2376" w:rsidRDefault="00000000">
      <w:pPr>
        <w:keepNext/>
        <w:keepLines/>
        <w:numPr>
          <w:ilvl w:val="7"/>
          <w:numId w:val="1"/>
        </w:numPr>
        <w:spacing w:after="0"/>
      </w:pPr>
      <w:r>
        <w:rPr>
          <w:rFonts w:ascii="Times New Roman"/>
          <w:sz w:val="24"/>
        </w:rPr>
        <w:t>profitability of assets.</w:t>
      </w:r>
    </w:p>
    <w:p w14:paraId="3AF95A72" w14:textId="77777777" w:rsidR="00BE2376" w:rsidRDefault="00000000">
      <w:pPr>
        <w:keepNext/>
        <w:keepLines/>
        <w:numPr>
          <w:ilvl w:val="7"/>
          <w:numId w:val="1"/>
        </w:numPr>
        <w:spacing w:after="0"/>
      </w:pPr>
      <w:r>
        <w:rPr>
          <w:rFonts w:ascii="Times New Roman"/>
          <w:color w:val="000000"/>
          <w:sz w:val="24"/>
        </w:rPr>
        <w:t>profitability of owners' investment.</w:t>
      </w:r>
    </w:p>
    <w:p w14:paraId="0B0F9F89" w14:textId="77777777" w:rsidR="00BE2376" w:rsidRDefault="00BE2376">
      <w:pPr>
        <w:keepLines/>
        <w:spacing w:after="0"/>
      </w:pPr>
    </w:p>
    <w:p w14:paraId="7167EF42" w14:textId="77777777" w:rsidR="00BE2376" w:rsidRDefault="00000000">
      <w:pPr>
        <w:keepNext/>
        <w:keepLines/>
        <w:numPr>
          <w:ilvl w:val="0"/>
          <w:numId w:val="1"/>
        </w:numPr>
        <w:spacing w:after="0"/>
      </w:pPr>
      <w:r>
        <w:rPr>
          <w:rFonts w:ascii="Times New Roman"/>
          <w:sz w:val="24"/>
        </w:rPr>
        <w:t>Which three major skills must be demonstrated to be successful as an accountant?</w:t>
      </w:r>
    </w:p>
    <w:p w14:paraId="3B52A26D" w14:textId="77777777" w:rsidR="00BE2376" w:rsidRDefault="00000000">
      <w:pPr>
        <w:keepNext/>
        <w:keepLines/>
        <w:numPr>
          <w:ilvl w:val="7"/>
          <w:numId w:val="1"/>
        </w:numPr>
        <w:spacing w:after="0"/>
      </w:pPr>
      <w:r>
        <w:rPr>
          <w:rFonts w:ascii="Times New Roman"/>
          <w:sz w:val="24"/>
        </w:rPr>
        <w:t>Knowledge, creativity and organization.</w:t>
      </w:r>
    </w:p>
    <w:p w14:paraId="6C2DF55B" w14:textId="77777777" w:rsidR="00BE2376" w:rsidRDefault="00000000">
      <w:pPr>
        <w:keepNext/>
        <w:keepLines/>
        <w:numPr>
          <w:ilvl w:val="7"/>
          <w:numId w:val="1"/>
        </w:numPr>
        <w:spacing w:after="0"/>
      </w:pPr>
      <w:r>
        <w:rPr>
          <w:rFonts w:ascii="Times New Roman"/>
          <w:sz w:val="24"/>
        </w:rPr>
        <w:t>Creativity, mathematical skills and adaptability.</w:t>
      </w:r>
    </w:p>
    <w:p w14:paraId="3A2A8205" w14:textId="77777777" w:rsidR="00BE2376" w:rsidRDefault="00000000">
      <w:pPr>
        <w:keepNext/>
        <w:keepLines/>
        <w:numPr>
          <w:ilvl w:val="7"/>
          <w:numId w:val="1"/>
        </w:numPr>
        <w:spacing w:after="0"/>
      </w:pPr>
      <w:r>
        <w:rPr>
          <w:rFonts w:ascii="Times New Roman"/>
          <w:sz w:val="24"/>
        </w:rPr>
        <w:t>Knowledge, critical thinking and organization.</w:t>
      </w:r>
    </w:p>
    <w:p w14:paraId="0BCACB44" w14:textId="77777777" w:rsidR="00BE2376" w:rsidRDefault="00000000">
      <w:pPr>
        <w:keepNext/>
        <w:keepLines/>
        <w:numPr>
          <w:ilvl w:val="7"/>
          <w:numId w:val="1"/>
        </w:numPr>
        <w:spacing w:after="0"/>
      </w:pPr>
      <w:r>
        <w:rPr>
          <w:rFonts w:ascii="Times New Roman"/>
          <w:sz w:val="24"/>
        </w:rPr>
        <w:t>Creativity, professionalism and interpersonal skills.</w:t>
      </w:r>
    </w:p>
    <w:p w14:paraId="7DE4B42F" w14:textId="77777777" w:rsidR="00BE2376" w:rsidRDefault="00BE2376">
      <w:pPr>
        <w:keepLines/>
        <w:spacing w:after="0"/>
      </w:pPr>
    </w:p>
    <w:p w14:paraId="49E17007" w14:textId="77777777" w:rsidR="00BE2376" w:rsidRDefault="00000000">
      <w:pPr>
        <w:keepNext/>
        <w:keepLines/>
        <w:numPr>
          <w:ilvl w:val="0"/>
          <w:numId w:val="1"/>
        </w:numPr>
        <w:spacing w:after="0"/>
      </w:pPr>
      <w:r>
        <w:rPr>
          <w:rFonts w:ascii="Times New Roman"/>
          <w:sz w:val="24"/>
        </w:rPr>
        <w:t>A generic framework for case analysis is recommended not only for integration and analysis cases in an academic setting but can also be applied to business decision-making situations. Which of the following steps in a case analysis would NOT be appropriate?</w:t>
      </w:r>
    </w:p>
    <w:p w14:paraId="6893873F" w14:textId="77777777" w:rsidR="00BE2376" w:rsidRDefault="00000000">
      <w:pPr>
        <w:keepNext/>
        <w:keepLines/>
        <w:numPr>
          <w:ilvl w:val="7"/>
          <w:numId w:val="1"/>
        </w:numPr>
        <w:spacing w:after="0"/>
      </w:pPr>
      <w:r>
        <w:rPr>
          <w:rFonts w:ascii="Times New Roman"/>
          <w:sz w:val="24"/>
        </w:rPr>
        <w:t>Identifying the needs of the users.</w:t>
      </w:r>
    </w:p>
    <w:p w14:paraId="7EB85965" w14:textId="77777777" w:rsidR="00BE2376" w:rsidRDefault="00000000">
      <w:pPr>
        <w:keepNext/>
        <w:keepLines/>
        <w:numPr>
          <w:ilvl w:val="7"/>
          <w:numId w:val="1"/>
        </w:numPr>
        <w:spacing w:after="0"/>
      </w:pPr>
      <w:r>
        <w:rPr>
          <w:rFonts w:ascii="Times New Roman"/>
          <w:sz w:val="24"/>
        </w:rPr>
        <w:t>Identifying and ranking the issues that must be addressed.</w:t>
      </w:r>
    </w:p>
    <w:p w14:paraId="014A6BE9" w14:textId="77777777" w:rsidR="00BE2376" w:rsidRDefault="00000000">
      <w:pPr>
        <w:keepNext/>
        <w:keepLines/>
        <w:numPr>
          <w:ilvl w:val="7"/>
          <w:numId w:val="1"/>
        </w:numPr>
        <w:spacing w:after="0"/>
      </w:pPr>
      <w:r>
        <w:rPr>
          <w:rFonts w:ascii="Times New Roman"/>
          <w:sz w:val="24"/>
        </w:rPr>
        <w:t>Creating a list of alternatives that are relevant and viable to the situation.</w:t>
      </w:r>
    </w:p>
    <w:p w14:paraId="1F1A72A2" w14:textId="77777777" w:rsidR="00BE2376" w:rsidRDefault="00000000">
      <w:pPr>
        <w:keepNext/>
        <w:keepLines/>
        <w:numPr>
          <w:ilvl w:val="7"/>
          <w:numId w:val="1"/>
        </w:numPr>
        <w:spacing w:after="0"/>
      </w:pPr>
      <w:r>
        <w:rPr>
          <w:rFonts w:ascii="Times New Roman"/>
          <w:sz w:val="24"/>
        </w:rPr>
        <w:t>Providing all identified alternatives to the users in the final report.</w:t>
      </w:r>
    </w:p>
    <w:p w14:paraId="54AC720A" w14:textId="77777777" w:rsidR="00BE2376" w:rsidRDefault="00BE2376">
      <w:pPr>
        <w:keepLines/>
        <w:spacing w:after="0"/>
      </w:pPr>
    </w:p>
    <w:p w14:paraId="769FD005" w14:textId="77777777" w:rsidR="00BE2376" w:rsidRDefault="00000000">
      <w:pPr>
        <w:keepNext/>
        <w:keepLines/>
        <w:spacing w:after="0"/>
      </w:pPr>
      <w:r>
        <w:rPr>
          <w:rFonts w:ascii="Times New Roman"/>
          <w:b/>
          <w:sz w:val="24"/>
        </w:rPr>
        <w:t>SHORT ANSWER. Write the word or phrase that best completes each statement or answers the question.</w:t>
      </w:r>
    </w:p>
    <w:p w14:paraId="6BFC4500" w14:textId="77777777" w:rsidR="00BE2376" w:rsidRDefault="00000000">
      <w:pPr>
        <w:keepNext/>
        <w:keepLines/>
        <w:numPr>
          <w:ilvl w:val="0"/>
          <w:numId w:val="1"/>
        </w:numPr>
        <w:spacing w:after="0"/>
      </w:pPr>
      <w:r>
        <w:rPr>
          <w:rFonts w:ascii="Times New Roman"/>
          <w:color w:val="000000"/>
          <w:sz w:val="24"/>
        </w:rPr>
        <w:t xml:space="preserve">Explain the purpose or use of "The Conceptual Framework for Financial Reporting" ( </w:t>
      </w:r>
      <w:r>
        <w:rPr>
          <w:rFonts w:ascii="Times New Roman"/>
          <w:i/>
          <w:color w:val="000000"/>
          <w:sz w:val="24"/>
        </w:rPr>
        <w:t>Conceptual</w:t>
      </w:r>
      <w:r>
        <w:rPr>
          <w:rFonts w:ascii="Times New Roman"/>
          <w:color w:val="000000"/>
          <w:sz w:val="24"/>
        </w:rPr>
        <w:t xml:space="preserve"> </w:t>
      </w:r>
      <w:r>
        <w:rPr>
          <w:rFonts w:ascii="Times New Roman"/>
          <w:i/>
          <w:color w:val="000000"/>
          <w:sz w:val="24"/>
        </w:rPr>
        <w:t>Framework)</w:t>
      </w:r>
      <w:r>
        <w:rPr>
          <w:rFonts w:ascii="Times New Roman"/>
          <w:color w:val="000000"/>
          <w:sz w:val="24"/>
        </w:rPr>
        <w:t xml:space="preserve"> in relation to International Financial Reporting Standards (IFRS).</w:t>
      </w:r>
    </w:p>
    <w:p w14:paraId="47F01480" w14:textId="77777777" w:rsidR="00BE2376" w:rsidRDefault="00000000">
      <w:pPr>
        <w:keepNext/>
        <w:keepLines/>
        <w:spacing w:after="0"/>
      </w:pPr>
      <w:r>
        <w:rPr>
          <w:rFonts w:ascii="Times New Roman"/>
          <w:sz w:val="24"/>
        </w:rPr>
        <w:br/>
      </w:r>
      <w:r>
        <w:rPr>
          <w:rFonts w:ascii="Times New Roman"/>
          <w:sz w:val="24"/>
        </w:rPr>
        <w:br/>
      </w:r>
      <w:r>
        <w:rPr>
          <w:rFonts w:ascii="Times New Roman"/>
          <w:sz w:val="24"/>
        </w:rPr>
        <w:br/>
      </w:r>
    </w:p>
    <w:p w14:paraId="604F43F2" w14:textId="77777777" w:rsidR="00BE2376" w:rsidRDefault="00BE2376">
      <w:pPr>
        <w:keepLines/>
        <w:spacing w:after="0"/>
      </w:pPr>
    </w:p>
    <w:p w14:paraId="5BEE85C3" w14:textId="77777777" w:rsidR="00BE2376" w:rsidRDefault="00000000">
      <w:pPr>
        <w:keepNext/>
        <w:keepLines/>
        <w:numPr>
          <w:ilvl w:val="0"/>
          <w:numId w:val="1"/>
        </w:numPr>
        <w:spacing w:after="0"/>
      </w:pPr>
      <w:r>
        <w:rPr>
          <w:rFonts w:ascii="Times New Roman"/>
          <w:sz w:val="24"/>
        </w:rPr>
        <w:lastRenderedPageBreak/>
        <w:t>X Inc. and Y Inc. are virtually identical companies with identical cost structures and very similar business practices operating in the same lines of business. X Inc. and Y Inc. are both public companies based in Canada and follow IFRS. The following are the condensed income statements for both companies:</w:t>
      </w:r>
    </w:p>
    <w:tbl>
      <w:tblPr>
        <w:tblW w:w="0" w:type="auto"/>
        <w:tblInd w:w="360" w:type="dxa"/>
        <w:tblLook w:val="04A0" w:firstRow="1" w:lastRow="0" w:firstColumn="1" w:lastColumn="0" w:noHBand="0" w:noVBand="1"/>
      </w:tblPr>
      <w:tblGrid>
        <w:gridCol w:w="5061"/>
        <w:gridCol w:w="2472"/>
        <w:gridCol w:w="1497"/>
      </w:tblGrid>
      <w:tr w:rsidR="00BE2376" w14:paraId="103A4008"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8E646D" w14:textId="77777777" w:rsidR="00BE2376" w:rsidRDefault="00BE2376">
            <w:pPr>
              <w:keepNext/>
              <w:keepLines/>
            </w:pP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AF9A97" w14:textId="77777777" w:rsidR="00BE2376" w:rsidRDefault="00000000">
            <w:pPr>
              <w:keepNext/>
              <w:keepLines/>
              <w:spacing w:after="0"/>
              <w:jc w:val="center"/>
            </w:pPr>
            <w:r>
              <w:rPr>
                <w:rFonts w:ascii="Times New Roman" w:hAnsi="Times New Roman"/>
                <w:color w:val="000000"/>
              </w:rPr>
              <w:t xml:space="preserve">  </w:t>
            </w:r>
            <w:r>
              <w:rPr>
                <w:rFonts w:ascii="Times New Roman" w:hAnsi="Times New Roman"/>
                <w:b/>
                <w:color w:val="000000"/>
              </w:rPr>
              <w:t>X Inc.</w:t>
            </w: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CA6966" w14:textId="77777777" w:rsidR="00BE2376" w:rsidRDefault="00000000">
            <w:pPr>
              <w:keepNext/>
              <w:keepLines/>
              <w:spacing w:after="0"/>
              <w:jc w:val="center"/>
            </w:pPr>
            <w:r>
              <w:rPr>
                <w:rFonts w:ascii="Times New Roman" w:hAnsi="Times New Roman"/>
                <w:color w:val="000000"/>
              </w:rPr>
              <w:t xml:space="preserve">  </w:t>
            </w:r>
            <w:r>
              <w:rPr>
                <w:rFonts w:ascii="Times New Roman" w:hAnsi="Times New Roman"/>
                <w:b/>
                <w:color w:val="000000"/>
              </w:rPr>
              <w:t>Y Inc.</w:t>
            </w:r>
          </w:p>
        </w:tc>
      </w:tr>
      <w:tr w:rsidR="00BE2376" w14:paraId="01FDCDFD"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B71B72" w14:textId="77777777" w:rsidR="00BE2376" w:rsidRDefault="00000000">
            <w:pPr>
              <w:keepNext/>
              <w:keepLines/>
              <w:spacing w:after="0"/>
              <w:jc w:val="center"/>
            </w:pPr>
            <w:r>
              <w:rPr>
                <w:rFonts w:ascii="Times New Roman" w:hAnsi="Times New Roman"/>
                <w:color w:val="000000"/>
              </w:rPr>
              <w:t>Sales:</w:t>
            </w: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A4A227" w14:textId="77777777" w:rsidR="00BE2376" w:rsidRDefault="00000000">
            <w:pPr>
              <w:keepNext/>
              <w:keepLines/>
              <w:spacing w:after="0"/>
              <w:jc w:val="right"/>
            </w:pPr>
            <w:r>
              <w:rPr>
                <w:rFonts w:ascii="Times New Roman" w:hAnsi="Times New Roman"/>
                <w:color w:val="000000"/>
              </w:rPr>
              <w:t>$1,000,000</w:t>
            </w: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EDA5C8" w14:textId="77777777" w:rsidR="00BE2376" w:rsidRDefault="00000000">
            <w:pPr>
              <w:keepNext/>
              <w:keepLines/>
              <w:spacing w:after="0"/>
              <w:jc w:val="right"/>
            </w:pPr>
            <w:r>
              <w:rPr>
                <w:rFonts w:ascii="Times New Roman" w:hAnsi="Times New Roman"/>
                <w:color w:val="000000"/>
              </w:rPr>
              <w:t>$2,000,000</w:t>
            </w:r>
          </w:p>
        </w:tc>
      </w:tr>
      <w:tr w:rsidR="00BE2376" w14:paraId="14F108DF"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D41EB5" w14:textId="77777777" w:rsidR="00BE2376" w:rsidRDefault="00000000">
            <w:pPr>
              <w:keepNext/>
              <w:keepLines/>
              <w:spacing w:after="0"/>
              <w:jc w:val="center"/>
            </w:pPr>
            <w:r>
              <w:rPr>
                <w:rFonts w:ascii="Times New Roman" w:hAnsi="Times New Roman"/>
                <w:color w:val="000000"/>
              </w:rPr>
              <w:t>Less:</w:t>
            </w: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AAB748" w14:textId="77777777" w:rsidR="00BE2376" w:rsidRDefault="00BE2376">
            <w:pPr>
              <w:keepNext/>
              <w:keepLines/>
            </w:pP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463878" w14:textId="77777777" w:rsidR="00BE2376" w:rsidRDefault="00BE2376">
            <w:pPr>
              <w:keepNext/>
              <w:keepLines/>
            </w:pPr>
          </w:p>
        </w:tc>
      </w:tr>
      <w:tr w:rsidR="00BE2376" w14:paraId="6D4A631E"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DEE0C1B" w14:textId="77777777" w:rsidR="00BE2376" w:rsidRDefault="00000000">
            <w:pPr>
              <w:keepNext/>
              <w:keepLines/>
              <w:spacing w:after="0"/>
              <w:jc w:val="center"/>
            </w:pPr>
            <w:r>
              <w:rPr>
                <w:rFonts w:ascii="Times New Roman" w:hAnsi="Times New Roman"/>
                <w:color w:val="000000"/>
              </w:rPr>
              <w:t>Cost of Goods Sold</w:t>
            </w: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535162" w14:textId="77777777" w:rsidR="00BE2376" w:rsidRDefault="00000000">
            <w:pPr>
              <w:keepNext/>
              <w:keepLines/>
              <w:spacing w:after="0"/>
              <w:jc w:val="right"/>
            </w:pPr>
            <w:r>
              <w:rPr>
                <w:rFonts w:ascii="Times New Roman" w:hAnsi="Times New Roman"/>
                <w:color w:val="000000"/>
              </w:rPr>
              <w:t xml:space="preserve">  </w:t>
            </w:r>
            <w:r>
              <w:rPr>
                <w:rFonts w:ascii="Times New Roman" w:hAnsi="Times New Roman"/>
                <w:color w:val="000000"/>
                <w:u w:val="single"/>
              </w:rPr>
              <w:t>500,000</w:t>
            </w: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65F3E6" w14:textId="77777777" w:rsidR="00BE2376" w:rsidRDefault="00000000">
            <w:pPr>
              <w:keepNext/>
              <w:keepLines/>
              <w:spacing w:after="0"/>
              <w:jc w:val="right"/>
            </w:pPr>
            <w:r>
              <w:rPr>
                <w:rFonts w:ascii="Times New Roman" w:hAnsi="Times New Roman"/>
                <w:color w:val="000000"/>
              </w:rPr>
              <w:t xml:space="preserve">  </w:t>
            </w:r>
            <w:r>
              <w:rPr>
                <w:rFonts w:ascii="Times New Roman" w:hAnsi="Times New Roman"/>
                <w:color w:val="000000"/>
                <w:u w:val="single"/>
              </w:rPr>
              <w:t>1,600,000</w:t>
            </w:r>
          </w:p>
        </w:tc>
      </w:tr>
      <w:tr w:rsidR="00BE2376" w14:paraId="1A3B9EB1"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C96850" w14:textId="77777777" w:rsidR="00BE2376" w:rsidRDefault="00000000">
            <w:pPr>
              <w:keepNext/>
              <w:keepLines/>
              <w:spacing w:after="0"/>
              <w:jc w:val="center"/>
            </w:pPr>
            <w:r>
              <w:rPr>
                <w:rFonts w:ascii="Times New Roman" w:hAnsi="Times New Roman"/>
                <w:color w:val="000000"/>
              </w:rPr>
              <w:t>Gross Margin</w:t>
            </w: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B3ACFE" w14:textId="77777777" w:rsidR="00BE2376" w:rsidRDefault="00000000">
            <w:pPr>
              <w:keepNext/>
              <w:keepLines/>
              <w:spacing w:after="0"/>
              <w:jc w:val="right"/>
            </w:pPr>
            <w:r>
              <w:rPr>
                <w:rFonts w:ascii="Times New Roman" w:hAnsi="Times New Roman"/>
                <w:color w:val="000000"/>
              </w:rPr>
              <w:t>$500,000</w:t>
            </w: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003D46" w14:textId="77777777" w:rsidR="00BE2376" w:rsidRDefault="00000000">
            <w:pPr>
              <w:keepNext/>
              <w:keepLines/>
              <w:spacing w:after="0"/>
              <w:jc w:val="right"/>
            </w:pPr>
            <w:r>
              <w:rPr>
                <w:rFonts w:ascii="Times New Roman" w:hAnsi="Times New Roman"/>
                <w:color w:val="000000"/>
              </w:rPr>
              <w:t>$400,000</w:t>
            </w:r>
          </w:p>
        </w:tc>
      </w:tr>
      <w:tr w:rsidR="00BE2376" w14:paraId="2505AA0C"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43B44E" w14:textId="77777777" w:rsidR="00BE2376" w:rsidRDefault="00000000">
            <w:pPr>
              <w:keepNext/>
              <w:keepLines/>
              <w:spacing w:after="0"/>
              <w:jc w:val="center"/>
            </w:pPr>
            <w:r>
              <w:rPr>
                <w:rFonts w:ascii="Times New Roman" w:hAnsi="Times New Roman"/>
                <w:color w:val="000000"/>
              </w:rPr>
              <w:t>Administrative Expenses</w:t>
            </w: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C690387" w14:textId="77777777" w:rsidR="00BE2376" w:rsidRDefault="00000000">
            <w:pPr>
              <w:keepNext/>
              <w:keepLines/>
              <w:spacing w:after="0"/>
              <w:jc w:val="right"/>
            </w:pPr>
            <w:r>
              <w:rPr>
                <w:rFonts w:ascii="Times New Roman" w:hAnsi="Times New Roman"/>
                <w:color w:val="000000"/>
              </w:rPr>
              <w:t xml:space="preserve">  </w:t>
            </w:r>
            <w:r>
              <w:rPr>
                <w:rFonts w:ascii="Times New Roman" w:hAnsi="Times New Roman"/>
                <w:color w:val="000000"/>
                <w:u w:val="single"/>
              </w:rPr>
              <w:t>200,000</w:t>
            </w: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3B94129" w14:textId="77777777" w:rsidR="00BE2376" w:rsidRDefault="00000000">
            <w:pPr>
              <w:keepNext/>
              <w:keepLines/>
              <w:spacing w:after="0"/>
              <w:jc w:val="right"/>
            </w:pPr>
            <w:r>
              <w:rPr>
                <w:rFonts w:ascii="Times New Roman" w:hAnsi="Times New Roman"/>
                <w:color w:val="000000"/>
              </w:rPr>
              <w:t xml:space="preserve">  </w:t>
            </w:r>
            <w:r>
              <w:rPr>
                <w:rFonts w:ascii="Times New Roman" w:hAnsi="Times New Roman"/>
                <w:color w:val="000000"/>
                <w:u w:val="single"/>
              </w:rPr>
              <w:t>300,000</w:t>
            </w:r>
          </w:p>
        </w:tc>
      </w:tr>
      <w:tr w:rsidR="00BE2376" w14:paraId="09AA6712" w14:textId="77777777">
        <w:trPr>
          <w:cantSplit/>
          <w:trHeight w:val="60"/>
        </w:trPr>
        <w:tc>
          <w:tcPr>
            <w:tcW w:w="6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59546A" w14:textId="77777777" w:rsidR="00BE2376" w:rsidRDefault="00000000">
            <w:pPr>
              <w:keepNext/>
              <w:keepLines/>
              <w:spacing w:after="0"/>
              <w:jc w:val="center"/>
            </w:pPr>
            <w:r>
              <w:rPr>
                <w:rFonts w:ascii="Times New Roman" w:hAnsi="Times New Roman"/>
                <w:color w:val="000000"/>
              </w:rPr>
              <w:t>Net Income</w:t>
            </w:r>
          </w:p>
        </w:tc>
        <w:tc>
          <w:tcPr>
            <w:tcW w:w="302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086058" w14:textId="77777777" w:rsidR="00BE2376" w:rsidRDefault="00000000">
            <w:pPr>
              <w:keepNext/>
              <w:keepLines/>
              <w:spacing w:after="0"/>
              <w:jc w:val="right"/>
            </w:pPr>
            <w:r>
              <w:rPr>
                <w:rFonts w:ascii="Times New Roman" w:hAnsi="Times New Roman"/>
                <w:color w:val="000000"/>
              </w:rPr>
              <w:t xml:space="preserve">  </w:t>
            </w:r>
            <w:r>
              <w:rPr>
                <w:rFonts w:ascii="Times New Roman" w:hAnsi="Times New Roman"/>
                <w:color w:val="000000"/>
                <w:u w:val="single"/>
              </w:rPr>
              <w:t>$</w:t>
            </w:r>
            <w:r>
              <w:rPr>
                <w:rFonts w:ascii="Times New Roman" w:hAnsi="Times New Roman"/>
                <w:color w:val="000000"/>
              </w:rPr>
              <w:t xml:space="preserve">  </w:t>
            </w:r>
            <w:r>
              <w:rPr>
                <w:rFonts w:ascii="Times New Roman" w:hAnsi="Times New Roman"/>
                <w:color w:val="000000"/>
                <w:u w:val="single"/>
              </w:rPr>
              <w:t>300,000</w:t>
            </w:r>
          </w:p>
        </w:tc>
        <w:tc>
          <w:tcPr>
            <w:tcW w:w="167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64D0C7" w14:textId="77777777" w:rsidR="00BE2376" w:rsidRDefault="00000000">
            <w:pPr>
              <w:keepNext/>
              <w:keepLines/>
              <w:spacing w:after="0"/>
              <w:jc w:val="right"/>
            </w:pPr>
            <w:r>
              <w:rPr>
                <w:rFonts w:ascii="Times New Roman" w:hAnsi="Times New Roman"/>
                <w:color w:val="000000"/>
              </w:rPr>
              <w:t xml:space="preserve">  </w:t>
            </w:r>
            <w:r>
              <w:rPr>
                <w:rFonts w:ascii="Times New Roman" w:hAnsi="Times New Roman"/>
                <w:color w:val="000000"/>
                <w:u w:val="single"/>
              </w:rPr>
              <w:t>$</w:t>
            </w:r>
            <w:r>
              <w:rPr>
                <w:rFonts w:ascii="Times New Roman" w:hAnsi="Times New Roman"/>
                <w:color w:val="000000"/>
              </w:rPr>
              <w:t xml:space="preserve">  </w:t>
            </w:r>
            <w:r>
              <w:rPr>
                <w:rFonts w:ascii="Times New Roman" w:hAnsi="Times New Roman"/>
                <w:color w:val="000000"/>
                <w:u w:val="single"/>
              </w:rPr>
              <w:t>100,000</w:t>
            </w:r>
          </w:p>
        </w:tc>
      </w:tr>
    </w:tbl>
    <w:p w14:paraId="6940CBEB" w14:textId="77777777" w:rsidR="00BE2376" w:rsidRDefault="00000000">
      <w:pPr>
        <w:keepNext/>
        <w:keepLines/>
        <w:spacing w:after="0"/>
        <w:ind w:left="360"/>
      </w:pP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sz w:val="24"/>
        </w:rPr>
        <w:br/>
      </w:r>
      <w:r>
        <w:rPr>
          <w:rFonts w:ascii="Times New Roman"/>
          <w:color w:val="000000"/>
          <w:sz w:val="24"/>
        </w:rPr>
        <w:t xml:space="preserve"> Given the information provided, what are some possible causes for the differing results of these companies?</w:t>
      </w:r>
    </w:p>
    <w:p w14:paraId="75DBE0EB" w14:textId="77777777" w:rsidR="00BE2376" w:rsidRDefault="00000000">
      <w:pPr>
        <w:keepNext/>
        <w:keepLines/>
        <w:spacing w:after="0"/>
      </w:pPr>
      <w:r>
        <w:rPr>
          <w:rFonts w:ascii="Times New Roman"/>
          <w:sz w:val="24"/>
        </w:rPr>
        <w:br/>
      </w:r>
      <w:r>
        <w:rPr>
          <w:rFonts w:ascii="Times New Roman"/>
          <w:sz w:val="24"/>
        </w:rPr>
        <w:br/>
      </w:r>
      <w:r>
        <w:rPr>
          <w:rFonts w:ascii="Times New Roman"/>
          <w:sz w:val="24"/>
        </w:rPr>
        <w:br/>
      </w:r>
    </w:p>
    <w:p w14:paraId="0F507C74" w14:textId="77777777" w:rsidR="00BE2376" w:rsidRDefault="00BE2376">
      <w:pPr>
        <w:keepLines/>
        <w:spacing w:after="0"/>
      </w:pPr>
    </w:p>
    <w:p w14:paraId="1DC322F8" w14:textId="77777777" w:rsidR="00BE2376" w:rsidRDefault="00000000">
      <w:pPr>
        <w:keepNext/>
        <w:keepLines/>
        <w:numPr>
          <w:ilvl w:val="0"/>
          <w:numId w:val="1"/>
        </w:numPr>
        <w:spacing w:after="0"/>
      </w:pPr>
      <w:r>
        <w:rPr>
          <w:rFonts w:ascii="Times New Roman"/>
          <w:sz w:val="24"/>
        </w:rPr>
        <w:t>Briefly discuss the external users need for high-quality financial information.</w:t>
      </w:r>
    </w:p>
    <w:p w14:paraId="622139BE" w14:textId="77777777" w:rsidR="00BE2376" w:rsidRDefault="00000000">
      <w:pPr>
        <w:keepNext/>
        <w:keepLines/>
        <w:spacing w:after="0"/>
      </w:pPr>
      <w:r>
        <w:rPr>
          <w:rFonts w:ascii="Times New Roman"/>
          <w:sz w:val="24"/>
        </w:rPr>
        <w:br/>
      </w:r>
      <w:r>
        <w:rPr>
          <w:rFonts w:ascii="Times New Roman"/>
          <w:sz w:val="24"/>
        </w:rPr>
        <w:br/>
      </w:r>
      <w:r>
        <w:rPr>
          <w:rFonts w:ascii="Times New Roman"/>
          <w:sz w:val="24"/>
        </w:rPr>
        <w:br/>
      </w:r>
    </w:p>
    <w:p w14:paraId="2FB109F6" w14:textId="77777777" w:rsidR="00BE2376" w:rsidRDefault="00BE2376">
      <w:pPr>
        <w:keepLines/>
        <w:spacing w:after="0"/>
      </w:pPr>
    </w:p>
    <w:p w14:paraId="35D7F756" w14:textId="77777777" w:rsidR="00BE2376" w:rsidRDefault="00000000">
      <w:pPr>
        <w:keepNext/>
        <w:keepLines/>
        <w:numPr>
          <w:ilvl w:val="0"/>
          <w:numId w:val="1"/>
        </w:numPr>
        <w:spacing w:after="0"/>
      </w:pPr>
      <w:r>
        <w:rPr>
          <w:rFonts w:ascii="Times New Roman"/>
          <w:sz w:val="24"/>
        </w:rPr>
        <w:t>Explain ways that management can mispresent the financial situation of a company.</w:t>
      </w:r>
    </w:p>
    <w:p w14:paraId="39387755" w14:textId="77777777" w:rsidR="00BE2376" w:rsidRDefault="00000000">
      <w:pPr>
        <w:keepNext/>
        <w:keepLines/>
        <w:spacing w:after="0"/>
      </w:pPr>
      <w:r>
        <w:rPr>
          <w:rFonts w:ascii="Times New Roman"/>
          <w:sz w:val="24"/>
        </w:rPr>
        <w:br/>
      </w:r>
      <w:r>
        <w:rPr>
          <w:rFonts w:ascii="Times New Roman"/>
          <w:sz w:val="24"/>
        </w:rPr>
        <w:br/>
      </w:r>
      <w:r>
        <w:rPr>
          <w:rFonts w:ascii="Times New Roman"/>
          <w:sz w:val="24"/>
        </w:rPr>
        <w:br/>
      </w:r>
    </w:p>
    <w:p w14:paraId="4646D098" w14:textId="77777777" w:rsidR="00BE2376" w:rsidRDefault="00BE2376">
      <w:pPr>
        <w:keepLines/>
        <w:spacing w:after="0"/>
      </w:pPr>
    </w:p>
    <w:p w14:paraId="25BD3375" w14:textId="77777777" w:rsidR="00BE2376" w:rsidRDefault="00000000">
      <w:pPr>
        <w:keepNext/>
        <w:keepLines/>
        <w:numPr>
          <w:ilvl w:val="0"/>
          <w:numId w:val="1"/>
        </w:numPr>
        <w:spacing w:after="0"/>
      </w:pPr>
      <w:r>
        <w:rPr>
          <w:rFonts w:ascii="Times New Roman"/>
          <w:color w:val="000000"/>
          <w:sz w:val="24"/>
        </w:rPr>
        <w:lastRenderedPageBreak/>
        <w:t>Provide the procedures used to analyze a company's financial statements to determine its future prospects.</w:t>
      </w:r>
    </w:p>
    <w:p w14:paraId="666BD9FB" w14:textId="77777777" w:rsidR="00BE2376" w:rsidRDefault="00000000">
      <w:pPr>
        <w:keepNext/>
        <w:keepLines/>
        <w:spacing w:after="0"/>
      </w:pPr>
      <w:r>
        <w:rPr>
          <w:rFonts w:ascii="Times New Roman"/>
          <w:sz w:val="24"/>
        </w:rPr>
        <w:br/>
      </w:r>
      <w:r>
        <w:rPr>
          <w:rFonts w:ascii="Times New Roman"/>
          <w:sz w:val="24"/>
        </w:rPr>
        <w:br/>
      </w:r>
      <w:r>
        <w:rPr>
          <w:rFonts w:ascii="Times New Roman"/>
          <w:sz w:val="24"/>
        </w:rPr>
        <w:br/>
      </w:r>
    </w:p>
    <w:p w14:paraId="52966127" w14:textId="77777777" w:rsidR="00BE2376" w:rsidRDefault="00BE2376">
      <w:pPr>
        <w:keepLines/>
        <w:spacing w:after="0"/>
      </w:pPr>
    </w:p>
    <w:p w14:paraId="6E19EF61" w14:textId="77777777" w:rsidR="00BE2376"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740150C0" w14:textId="77777777" w:rsidR="00BE2376" w:rsidRDefault="00000000">
      <w:pPr>
        <w:keepLines/>
        <w:numPr>
          <w:ilvl w:val="5"/>
          <w:numId w:val="3"/>
        </w:numPr>
        <w:spacing w:after="0"/>
      </w:pPr>
      <w:r>
        <w:rPr>
          <w:rFonts w:ascii="Times New Roman"/>
          <w:sz w:val="24"/>
        </w:rPr>
        <w:t>TRUE</w:t>
      </w:r>
    </w:p>
    <w:p w14:paraId="7183C0F8" w14:textId="77777777" w:rsidR="00BE2376" w:rsidRDefault="00000000">
      <w:pPr>
        <w:keepLines/>
        <w:numPr>
          <w:ilvl w:val="5"/>
          <w:numId w:val="3"/>
        </w:numPr>
        <w:spacing w:after="0"/>
      </w:pPr>
      <w:r>
        <w:rPr>
          <w:rFonts w:ascii="Times New Roman"/>
          <w:sz w:val="24"/>
        </w:rPr>
        <w:t>TRUE</w:t>
      </w:r>
    </w:p>
    <w:p w14:paraId="668EE799" w14:textId="77777777" w:rsidR="00BE2376" w:rsidRDefault="00000000">
      <w:pPr>
        <w:keepLines/>
        <w:numPr>
          <w:ilvl w:val="5"/>
          <w:numId w:val="3"/>
        </w:numPr>
        <w:spacing w:after="0"/>
      </w:pPr>
      <w:r>
        <w:rPr>
          <w:rFonts w:ascii="Times New Roman"/>
          <w:sz w:val="24"/>
        </w:rPr>
        <w:t>FALSE</w:t>
      </w:r>
    </w:p>
    <w:p w14:paraId="1357BC04" w14:textId="77777777" w:rsidR="00BE2376" w:rsidRDefault="00000000">
      <w:pPr>
        <w:keepNext/>
        <w:keepLines/>
        <w:spacing w:after="0"/>
      </w:pPr>
      <w:r>
        <w:rPr>
          <w:rFonts w:ascii="Times New Roman"/>
          <w:sz w:val="24"/>
        </w:rPr>
        <w:t>Although the titles balance sheet or income statement is recommended in IAS 1, it is not mandatory. Titles such as the statement of financial position or statement of profit or loss are permitted.</w:t>
      </w:r>
    </w:p>
    <w:p w14:paraId="27D49A5B" w14:textId="77777777" w:rsidR="00BE2376" w:rsidRDefault="00BE2376">
      <w:pPr>
        <w:keepLines/>
        <w:spacing w:after="0"/>
      </w:pPr>
    </w:p>
    <w:p w14:paraId="223251AD" w14:textId="77777777" w:rsidR="00BE2376" w:rsidRDefault="00000000">
      <w:pPr>
        <w:keepLines/>
        <w:numPr>
          <w:ilvl w:val="5"/>
          <w:numId w:val="3"/>
        </w:numPr>
        <w:spacing w:after="0"/>
      </w:pPr>
      <w:r>
        <w:rPr>
          <w:rFonts w:ascii="Times New Roman"/>
          <w:sz w:val="24"/>
        </w:rPr>
        <w:t>D</w:t>
      </w:r>
    </w:p>
    <w:p w14:paraId="7F7431A9" w14:textId="77777777" w:rsidR="00BE2376" w:rsidRDefault="00000000">
      <w:pPr>
        <w:keepLines/>
        <w:numPr>
          <w:ilvl w:val="5"/>
          <w:numId w:val="3"/>
        </w:numPr>
        <w:spacing w:after="0"/>
      </w:pPr>
      <w:r>
        <w:rPr>
          <w:rFonts w:ascii="Times New Roman"/>
          <w:sz w:val="24"/>
        </w:rPr>
        <w:t>C</w:t>
      </w:r>
    </w:p>
    <w:p w14:paraId="27A21C1A" w14:textId="77777777" w:rsidR="00BE2376" w:rsidRDefault="00000000">
      <w:pPr>
        <w:keepLines/>
        <w:numPr>
          <w:ilvl w:val="5"/>
          <w:numId w:val="3"/>
        </w:numPr>
        <w:spacing w:after="0"/>
      </w:pPr>
      <w:r>
        <w:rPr>
          <w:rFonts w:ascii="Times New Roman"/>
          <w:sz w:val="24"/>
        </w:rPr>
        <w:t>C</w:t>
      </w:r>
    </w:p>
    <w:p w14:paraId="111CE717" w14:textId="77777777" w:rsidR="00BE2376" w:rsidRDefault="00000000">
      <w:pPr>
        <w:keepLines/>
        <w:numPr>
          <w:ilvl w:val="5"/>
          <w:numId w:val="3"/>
        </w:numPr>
        <w:spacing w:after="0"/>
      </w:pPr>
      <w:r>
        <w:rPr>
          <w:rFonts w:ascii="Times New Roman"/>
          <w:sz w:val="24"/>
        </w:rPr>
        <w:t>C</w:t>
      </w:r>
    </w:p>
    <w:p w14:paraId="1CDA2870" w14:textId="77777777" w:rsidR="00BE2376" w:rsidRDefault="00000000">
      <w:pPr>
        <w:keepLines/>
        <w:numPr>
          <w:ilvl w:val="5"/>
          <w:numId w:val="3"/>
        </w:numPr>
        <w:spacing w:after="0"/>
      </w:pPr>
      <w:r>
        <w:rPr>
          <w:rFonts w:ascii="Times New Roman"/>
          <w:sz w:val="24"/>
        </w:rPr>
        <w:t>C</w:t>
      </w:r>
    </w:p>
    <w:p w14:paraId="784E044F" w14:textId="77777777" w:rsidR="00BE2376" w:rsidRDefault="00000000">
      <w:pPr>
        <w:keepLines/>
        <w:numPr>
          <w:ilvl w:val="5"/>
          <w:numId w:val="3"/>
        </w:numPr>
        <w:spacing w:after="0"/>
      </w:pPr>
      <w:r>
        <w:rPr>
          <w:rFonts w:ascii="Times New Roman"/>
          <w:sz w:val="24"/>
        </w:rPr>
        <w:t>D</w:t>
      </w:r>
    </w:p>
    <w:p w14:paraId="640850AB" w14:textId="77777777" w:rsidR="00BE2376" w:rsidRDefault="00000000">
      <w:pPr>
        <w:keepLines/>
        <w:numPr>
          <w:ilvl w:val="5"/>
          <w:numId w:val="3"/>
        </w:numPr>
        <w:spacing w:after="0"/>
      </w:pPr>
      <w:r>
        <w:rPr>
          <w:rFonts w:ascii="Times New Roman"/>
          <w:sz w:val="24"/>
        </w:rPr>
        <w:t>C</w:t>
      </w:r>
    </w:p>
    <w:p w14:paraId="2E0BA7A2" w14:textId="77777777" w:rsidR="00BE2376" w:rsidRDefault="00000000">
      <w:pPr>
        <w:keepLines/>
        <w:numPr>
          <w:ilvl w:val="5"/>
          <w:numId w:val="3"/>
        </w:numPr>
        <w:spacing w:after="0"/>
      </w:pPr>
      <w:r>
        <w:rPr>
          <w:rFonts w:ascii="Times New Roman"/>
          <w:sz w:val="24"/>
        </w:rPr>
        <w:t>D</w:t>
      </w:r>
    </w:p>
    <w:p w14:paraId="102AC0D4" w14:textId="77777777" w:rsidR="00BE2376" w:rsidRDefault="00000000">
      <w:pPr>
        <w:keepLines/>
        <w:numPr>
          <w:ilvl w:val="5"/>
          <w:numId w:val="3"/>
        </w:numPr>
        <w:spacing w:after="0"/>
      </w:pPr>
      <w:r>
        <w:rPr>
          <w:rFonts w:ascii="Times New Roman"/>
          <w:sz w:val="24"/>
        </w:rPr>
        <w:t>C</w:t>
      </w:r>
    </w:p>
    <w:p w14:paraId="533449B9" w14:textId="77777777" w:rsidR="00BE2376" w:rsidRDefault="00000000">
      <w:pPr>
        <w:keepLines/>
        <w:numPr>
          <w:ilvl w:val="5"/>
          <w:numId w:val="3"/>
        </w:numPr>
        <w:spacing w:after="0"/>
      </w:pPr>
      <w:r>
        <w:rPr>
          <w:rFonts w:ascii="Times New Roman"/>
          <w:sz w:val="24"/>
        </w:rPr>
        <w:t>A</w:t>
      </w:r>
    </w:p>
    <w:p w14:paraId="17FD2DB4" w14:textId="77777777" w:rsidR="00BE2376" w:rsidRDefault="00000000">
      <w:pPr>
        <w:keepLines/>
        <w:numPr>
          <w:ilvl w:val="5"/>
          <w:numId w:val="3"/>
        </w:numPr>
        <w:spacing w:after="0"/>
      </w:pPr>
      <w:r>
        <w:rPr>
          <w:rFonts w:ascii="Times New Roman"/>
          <w:sz w:val="24"/>
        </w:rPr>
        <w:t>B</w:t>
      </w:r>
    </w:p>
    <w:p w14:paraId="66CF10A7" w14:textId="77777777" w:rsidR="00BE2376" w:rsidRDefault="00000000">
      <w:pPr>
        <w:keepLines/>
        <w:numPr>
          <w:ilvl w:val="5"/>
          <w:numId w:val="3"/>
        </w:numPr>
        <w:spacing w:after="0"/>
      </w:pPr>
      <w:r>
        <w:rPr>
          <w:rFonts w:ascii="Times New Roman"/>
          <w:sz w:val="24"/>
        </w:rPr>
        <w:t>B</w:t>
      </w:r>
    </w:p>
    <w:p w14:paraId="30BED4B3" w14:textId="77777777" w:rsidR="00BE2376" w:rsidRDefault="00000000">
      <w:pPr>
        <w:keepLines/>
        <w:numPr>
          <w:ilvl w:val="5"/>
          <w:numId w:val="3"/>
        </w:numPr>
        <w:spacing w:after="0"/>
      </w:pPr>
      <w:r>
        <w:rPr>
          <w:rFonts w:ascii="Times New Roman"/>
          <w:sz w:val="24"/>
        </w:rPr>
        <w:t>A</w:t>
      </w:r>
    </w:p>
    <w:p w14:paraId="23F29E70" w14:textId="77777777" w:rsidR="00BE2376" w:rsidRDefault="00000000">
      <w:pPr>
        <w:keepLines/>
        <w:numPr>
          <w:ilvl w:val="5"/>
          <w:numId w:val="3"/>
        </w:numPr>
        <w:spacing w:after="0"/>
      </w:pPr>
      <w:r>
        <w:rPr>
          <w:rFonts w:ascii="Times New Roman"/>
          <w:sz w:val="24"/>
        </w:rPr>
        <w:t>D</w:t>
      </w:r>
    </w:p>
    <w:p w14:paraId="2DB4E623" w14:textId="77777777" w:rsidR="00BE2376" w:rsidRDefault="00000000">
      <w:pPr>
        <w:keepNext/>
        <w:keepLines/>
        <w:spacing w:after="0"/>
      </w:pPr>
      <w:r>
        <w:rPr>
          <w:rFonts w:ascii="Times New Roman"/>
          <w:sz w:val="24"/>
        </w:rPr>
        <w:t>The final report would not have a discussion of alternatives for each issue unless the issue was very contentious. Furthermore, if an alternative was dismissed or determined to be inappropriate, it would be redundant to provide arguments to the users in the final report.</w:t>
      </w:r>
    </w:p>
    <w:p w14:paraId="0FED9014" w14:textId="77777777" w:rsidR="00BE2376" w:rsidRDefault="00BE2376">
      <w:pPr>
        <w:keepLines/>
        <w:spacing w:after="0"/>
      </w:pPr>
    </w:p>
    <w:p w14:paraId="27BD0E0F" w14:textId="77777777" w:rsidR="00BE2376" w:rsidRDefault="00000000">
      <w:pPr>
        <w:keepLines/>
        <w:numPr>
          <w:ilvl w:val="5"/>
          <w:numId w:val="3"/>
        </w:numPr>
        <w:spacing w:after="0"/>
      </w:pPr>
      <w:r>
        <w:rPr>
          <w:rFonts w:ascii="Times New Roman"/>
          <w:sz w:val="24"/>
        </w:rPr>
        <w:t>Short Answer</w:t>
      </w:r>
    </w:p>
    <w:p w14:paraId="1AD1112B" w14:textId="77777777" w:rsidR="00BE2376" w:rsidRDefault="00000000">
      <w:pPr>
        <w:keepNext/>
        <w:keepLines/>
        <w:spacing w:after="0"/>
      </w:pPr>
      <w:r>
        <w:rPr>
          <w:rFonts w:ascii="Times New Roman"/>
          <w:color w:val="000000"/>
          <w:sz w:val="24"/>
        </w:rPr>
        <w:lastRenderedPageBreak/>
        <w:t xml:space="preserve">In 2006, CPA Canada decided to harmonize the CPA Canada Handbook with IFRS for publicly accountable enterprises. In most cases, the IFRS Standards were similar to Canadian GAAP prior to the adoption of the international standards; however, in some cases, there were differences because the IFRS were not based on the </w:t>
      </w:r>
      <w:r>
        <w:rPr>
          <w:rFonts w:ascii="Times New Roman"/>
          <w:i/>
          <w:color w:val="000000"/>
          <w:sz w:val="24"/>
        </w:rPr>
        <w:t>Conceptual</w:t>
      </w:r>
      <w:r>
        <w:rPr>
          <w:rFonts w:ascii="Times New Roman"/>
          <w:color w:val="000000"/>
          <w:sz w:val="24"/>
        </w:rPr>
        <w:t xml:space="preserve"> </w:t>
      </w:r>
      <w:r>
        <w:rPr>
          <w:rFonts w:ascii="Times New Roman"/>
          <w:i/>
          <w:color w:val="000000"/>
          <w:sz w:val="24"/>
        </w:rPr>
        <w:t>Framework</w:t>
      </w:r>
      <w:r>
        <w:rPr>
          <w:rFonts w:ascii="Times New Roman"/>
          <w:color w:val="000000"/>
          <w:sz w:val="24"/>
        </w:rPr>
        <w:t>. These IFRS were not accepted.</w:t>
      </w:r>
      <w:r>
        <w:rPr>
          <w:rFonts w:ascii="Times New Roman"/>
          <w:sz w:val="24"/>
        </w:rPr>
        <w:br/>
      </w:r>
      <w:r>
        <w:rPr>
          <w:rFonts w:ascii="Times New Roman"/>
          <w:color w:val="000000"/>
          <w:sz w:val="24"/>
        </w:rPr>
        <w:t xml:space="preserve">The </w:t>
      </w:r>
      <w:r>
        <w:rPr>
          <w:rFonts w:ascii="Times New Roman"/>
          <w:i/>
          <w:color w:val="000000"/>
          <w:sz w:val="24"/>
        </w:rPr>
        <w:t>Conceptual</w:t>
      </w:r>
      <w:r>
        <w:rPr>
          <w:rFonts w:ascii="Times New Roman"/>
          <w:color w:val="000000"/>
          <w:sz w:val="24"/>
        </w:rPr>
        <w:t xml:space="preserve"> </w:t>
      </w:r>
      <w:r>
        <w:rPr>
          <w:rFonts w:ascii="Times New Roman"/>
          <w:i/>
          <w:color w:val="000000"/>
          <w:sz w:val="24"/>
        </w:rPr>
        <w:t>Framework</w:t>
      </w:r>
      <w:r>
        <w:rPr>
          <w:rFonts w:ascii="Times New Roman"/>
          <w:color w:val="000000"/>
          <w:sz w:val="24"/>
        </w:rPr>
        <w:t xml:space="preserve"> is referenced to assist the International Accounting Standards Board (IASB) to develop IFRS to ensure they are based on consistent concepts and so that similar transactions are treated the same way to provide useful information for investors, lenders and other creditors.</w:t>
      </w:r>
      <w:r>
        <w:rPr>
          <w:rFonts w:ascii="Times New Roman"/>
          <w:sz w:val="24"/>
        </w:rPr>
        <w:br/>
      </w:r>
      <w:r>
        <w:rPr>
          <w:rFonts w:ascii="Times New Roman"/>
          <w:color w:val="000000"/>
          <w:sz w:val="24"/>
        </w:rPr>
        <w:t xml:space="preserve">In addition, if no IFRS Standards apply to a particular transaction, the </w:t>
      </w:r>
      <w:r>
        <w:rPr>
          <w:rFonts w:ascii="Times New Roman"/>
          <w:i/>
          <w:color w:val="000000"/>
          <w:sz w:val="24"/>
        </w:rPr>
        <w:t>Conceptual</w:t>
      </w:r>
      <w:r>
        <w:rPr>
          <w:rFonts w:ascii="Times New Roman"/>
          <w:color w:val="000000"/>
          <w:sz w:val="24"/>
        </w:rPr>
        <w:t xml:space="preserve"> </w:t>
      </w:r>
      <w:r>
        <w:rPr>
          <w:rFonts w:ascii="Times New Roman"/>
          <w:i/>
          <w:color w:val="000000"/>
          <w:sz w:val="24"/>
        </w:rPr>
        <w:t>Framework</w:t>
      </w:r>
      <w:r>
        <w:rPr>
          <w:rFonts w:ascii="Times New Roman"/>
          <w:color w:val="000000"/>
          <w:sz w:val="24"/>
        </w:rPr>
        <w:t xml:space="preserve"> is used by companies to develop an accounting policy. Furthermore, on a broader basis, helps stakeholders to understand and interpret the Standards.</w:t>
      </w:r>
    </w:p>
    <w:p w14:paraId="618C6F8B" w14:textId="77777777" w:rsidR="00BE2376" w:rsidRDefault="00BE2376">
      <w:pPr>
        <w:keepLines/>
        <w:spacing w:after="0"/>
      </w:pPr>
    </w:p>
    <w:p w14:paraId="63A007ED" w14:textId="77777777" w:rsidR="00BE2376" w:rsidRDefault="00000000">
      <w:pPr>
        <w:keepLines/>
        <w:numPr>
          <w:ilvl w:val="5"/>
          <w:numId w:val="3"/>
        </w:numPr>
        <w:spacing w:after="0"/>
      </w:pPr>
      <w:r>
        <w:rPr>
          <w:rFonts w:ascii="Times New Roman"/>
          <w:sz w:val="24"/>
        </w:rPr>
        <w:t>Short Answer</w:t>
      </w:r>
    </w:p>
    <w:p w14:paraId="0D5D0689" w14:textId="77777777" w:rsidR="00BE2376" w:rsidRDefault="00000000">
      <w:pPr>
        <w:keepNext/>
        <w:keepLines/>
        <w:spacing w:after="0"/>
      </w:pPr>
      <w:r>
        <w:rPr>
          <w:rFonts w:ascii="Times New Roman"/>
          <w:color w:val="000000"/>
          <w:sz w:val="24"/>
        </w:rPr>
        <w:t>There could be many possible explanations for these differing results.</w:t>
      </w:r>
      <w:r>
        <w:rPr>
          <w:rFonts w:ascii="Times New Roman"/>
          <w:sz w:val="24"/>
        </w:rPr>
        <w:br/>
      </w:r>
      <w:r>
        <w:rPr>
          <w:rFonts w:ascii="Times New Roman"/>
          <w:color w:val="000000"/>
          <w:sz w:val="24"/>
        </w:rPr>
        <w:t>Y Inc.'s net income is $100,000, compared to X Inc.'s $300,000. Conversely, Y Inc.'s sales are twice those of X Inc. What is particularly noteworthy is Y Inc.'s 20% gross margin compared to X Inc.'s 50% gross margin. This could be due to the accelerated depreciation (double-declining versus straight-line) on Y Inc.'s depreciable properties. Y Inc. could have also accelerated revenue recognition.</w:t>
      </w:r>
      <w:r>
        <w:rPr>
          <w:rFonts w:ascii="Times New Roman"/>
          <w:sz w:val="24"/>
        </w:rPr>
        <w:br/>
      </w:r>
      <w:r>
        <w:rPr>
          <w:rFonts w:ascii="Times New Roman"/>
          <w:color w:val="000000"/>
          <w:sz w:val="24"/>
        </w:rPr>
        <w:t>Smoothing practices may have been applied to reduce Y Inc.'s income, and of course, its tax liability. Y Inc.'s income may have been further reduced by higher estimates (for example, bad debt expense, warranty costs, etc.) which are not necessarily be indicative of economic conditions.</w:t>
      </w:r>
      <w:r>
        <w:rPr>
          <w:rFonts w:ascii="Times New Roman"/>
          <w:sz w:val="24"/>
        </w:rPr>
        <w:br/>
      </w:r>
      <w:r>
        <w:rPr>
          <w:rFonts w:ascii="Times New Roman"/>
          <w:color w:val="000000"/>
          <w:sz w:val="24"/>
        </w:rPr>
        <w:t>If Y Inc. has attempted to distort the real situation, it is possible that Y Inc. may have reported sales that never occurred or reported inventory that does not exist.</w:t>
      </w:r>
      <w:r>
        <w:rPr>
          <w:rFonts w:ascii="Times New Roman"/>
          <w:sz w:val="24"/>
        </w:rPr>
        <w:br/>
      </w:r>
      <w:r>
        <w:rPr>
          <w:rFonts w:ascii="Times New Roman"/>
          <w:color w:val="000000"/>
          <w:sz w:val="24"/>
        </w:rPr>
        <w:t>Note: The above analysis is not exhaustive. Students may be able to identify other valid differences.</w:t>
      </w:r>
    </w:p>
    <w:p w14:paraId="44D07DC7" w14:textId="77777777" w:rsidR="00BE2376" w:rsidRDefault="00BE2376">
      <w:pPr>
        <w:keepLines/>
        <w:spacing w:after="0"/>
      </w:pPr>
    </w:p>
    <w:p w14:paraId="0D760420" w14:textId="77777777" w:rsidR="00BE2376" w:rsidRDefault="00000000">
      <w:pPr>
        <w:keepLines/>
        <w:numPr>
          <w:ilvl w:val="5"/>
          <w:numId w:val="3"/>
        </w:numPr>
        <w:spacing w:after="0"/>
      </w:pPr>
      <w:r>
        <w:rPr>
          <w:rFonts w:ascii="Times New Roman"/>
          <w:sz w:val="24"/>
        </w:rPr>
        <w:t>Short Answer</w:t>
      </w:r>
    </w:p>
    <w:p w14:paraId="03890862" w14:textId="77777777" w:rsidR="00BE2376" w:rsidRDefault="00000000">
      <w:pPr>
        <w:keepNext/>
        <w:keepLines/>
        <w:spacing w:after="0"/>
      </w:pPr>
      <w:r>
        <w:rPr>
          <w:rFonts w:ascii="Times New Roman"/>
          <w:color w:val="000000"/>
          <w:sz w:val="24"/>
        </w:rPr>
        <w:t>External users require high-quality financial information to enable them to assess the likelihood of making a reasonable return with an acceptable level of risk. It is important that the quality of the financial statements provide useful and reliable information to assess the prospects of future cash flows or future earnings.</w:t>
      </w:r>
      <w:r>
        <w:rPr>
          <w:rFonts w:ascii="Times New Roman"/>
          <w:sz w:val="24"/>
        </w:rPr>
        <w:br/>
      </w:r>
      <w:r>
        <w:rPr>
          <w:rFonts w:ascii="Times New Roman"/>
          <w:color w:val="000000"/>
          <w:sz w:val="24"/>
        </w:rPr>
        <w:t>The users want the information to accurately represent what has happened during the past period. Distorting the real situation is not a faithful representation of the actual situation. The result is the external users are not able to make appropriate decisions as to whether to increase, decrease or maintain their level of participation with the reporting entity in their capacity as investor, creditor, supplier and/or customer.</w:t>
      </w:r>
    </w:p>
    <w:p w14:paraId="3B135964" w14:textId="77777777" w:rsidR="00BE2376" w:rsidRDefault="00BE2376">
      <w:pPr>
        <w:keepLines/>
        <w:spacing w:after="0"/>
      </w:pPr>
    </w:p>
    <w:p w14:paraId="7059173C" w14:textId="77777777" w:rsidR="00BE2376" w:rsidRDefault="00000000">
      <w:pPr>
        <w:keepLines/>
        <w:numPr>
          <w:ilvl w:val="5"/>
          <w:numId w:val="3"/>
        </w:numPr>
        <w:spacing w:after="0"/>
      </w:pPr>
      <w:r>
        <w:rPr>
          <w:rFonts w:ascii="Times New Roman"/>
          <w:sz w:val="24"/>
        </w:rPr>
        <w:t>Short Answer</w:t>
      </w:r>
    </w:p>
    <w:p w14:paraId="24DD44B2" w14:textId="77777777" w:rsidR="00BE2376" w:rsidRDefault="00000000">
      <w:pPr>
        <w:keepNext/>
        <w:keepLines/>
        <w:spacing w:after="0"/>
      </w:pPr>
      <w:r>
        <w:rPr>
          <w:rFonts w:ascii="Times New Roman"/>
          <w:color w:val="000000"/>
          <w:sz w:val="24"/>
        </w:rPr>
        <w:lastRenderedPageBreak/>
        <w:t>Management can represent the financial situation of a company by</w:t>
      </w:r>
      <w:r>
        <w:rPr>
          <w:rFonts w:ascii="Times New Roman"/>
          <w:sz w:val="24"/>
        </w:rPr>
        <w:br/>
      </w:r>
      <w:r>
        <w:rPr>
          <w:rFonts w:ascii="Times New Roman"/>
          <w:color w:val="000000"/>
          <w:sz w:val="24"/>
        </w:rPr>
        <w:t>•</w:t>
      </w:r>
      <w:r>
        <w:rPr>
          <w:rFonts w:ascii="Times New Roman"/>
          <w:color w:val="000000"/>
          <w:sz w:val="24"/>
        </w:rPr>
        <w:t xml:space="preserve"> using an accounting method that does not match the actual situation,</w:t>
      </w:r>
      <w:r>
        <w:rPr>
          <w:rFonts w:ascii="Times New Roman"/>
          <w:sz w:val="24"/>
        </w:rPr>
        <w:br/>
      </w:r>
      <w:r>
        <w:rPr>
          <w:rFonts w:ascii="Times New Roman"/>
          <w:color w:val="000000"/>
          <w:sz w:val="24"/>
        </w:rPr>
        <w:t>•</w:t>
      </w:r>
      <w:r>
        <w:rPr>
          <w:rFonts w:ascii="Times New Roman"/>
          <w:color w:val="000000"/>
          <w:sz w:val="24"/>
        </w:rPr>
        <w:t xml:space="preserve"> managing earnings by increasing profits by recognizing revenue earlier than usual or delaying the recognition of an expense to a later period,</w:t>
      </w:r>
      <w:r>
        <w:rPr>
          <w:rFonts w:ascii="Times New Roman"/>
          <w:sz w:val="24"/>
        </w:rPr>
        <w:br/>
      </w:r>
      <w:r>
        <w:rPr>
          <w:rFonts w:ascii="Times New Roman"/>
          <w:color w:val="000000"/>
          <w:sz w:val="24"/>
        </w:rPr>
        <w:t>•</w:t>
      </w:r>
      <w:r>
        <w:rPr>
          <w:rFonts w:ascii="Times New Roman"/>
          <w:color w:val="000000"/>
          <w:sz w:val="24"/>
        </w:rPr>
        <w:t xml:space="preserve"> not following GAAP for certain transactions or</w:t>
      </w:r>
      <w:r>
        <w:rPr>
          <w:rFonts w:ascii="Times New Roman"/>
          <w:sz w:val="24"/>
        </w:rPr>
        <w:br/>
      </w:r>
      <w:r>
        <w:rPr>
          <w:rFonts w:ascii="Times New Roman"/>
          <w:color w:val="000000"/>
          <w:sz w:val="24"/>
        </w:rPr>
        <w:t>•</w:t>
      </w:r>
      <w:r>
        <w:rPr>
          <w:rFonts w:ascii="Times New Roman"/>
          <w:color w:val="000000"/>
          <w:sz w:val="24"/>
        </w:rPr>
        <w:t xml:space="preserve"> reporting fictious transactions.</w:t>
      </w:r>
      <w:r>
        <w:rPr>
          <w:rFonts w:ascii="Times New Roman"/>
          <w:sz w:val="24"/>
        </w:rPr>
        <w:br/>
      </w:r>
      <w:r>
        <w:rPr>
          <w:rFonts w:ascii="Times New Roman"/>
          <w:color w:val="000000"/>
          <w:sz w:val="24"/>
        </w:rPr>
        <w:t>Note: Students may be able to provide other methods not listed above.</w:t>
      </w:r>
    </w:p>
    <w:p w14:paraId="57A129B8" w14:textId="77777777" w:rsidR="00BE2376" w:rsidRDefault="00BE2376">
      <w:pPr>
        <w:keepLines/>
        <w:spacing w:after="0"/>
      </w:pPr>
    </w:p>
    <w:p w14:paraId="5CCA5581" w14:textId="77777777" w:rsidR="00BE2376" w:rsidRDefault="00000000">
      <w:pPr>
        <w:keepLines/>
        <w:numPr>
          <w:ilvl w:val="5"/>
          <w:numId w:val="3"/>
        </w:numPr>
        <w:spacing w:after="0"/>
      </w:pPr>
      <w:r>
        <w:rPr>
          <w:rFonts w:ascii="Times New Roman"/>
          <w:sz w:val="24"/>
        </w:rPr>
        <w:t>Short Answer</w:t>
      </w:r>
    </w:p>
    <w:p w14:paraId="593F11A6" w14:textId="77777777" w:rsidR="00BE2376" w:rsidRDefault="00000000">
      <w:pPr>
        <w:keepNext/>
        <w:keepLines/>
        <w:spacing w:after="0"/>
      </w:pPr>
      <w:r>
        <w:rPr>
          <w:rFonts w:ascii="Times New Roman"/>
          <w:color w:val="000000"/>
          <w:sz w:val="24"/>
        </w:rPr>
        <w:t>Procedures to analyze a company's financial statements:</w:t>
      </w:r>
      <w:r>
        <w:rPr>
          <w:rFonts w:ascii="Times New Roman"/>
          <w:sz w:val="24"/>
        </w:rPr>
        <w:br/>
      </w:r>
      <w:r>
        <w:rPr>
          <w:rFonts w:ascii="Times New Roman"/>
          <w:sz w:val="24"/>
        </w:rPr>
        <w:br/>
      </w:r>
      <w:r>
        <w:rPr>
          <w:rFonts w:ascii="Times New Roman"/>
          <w:color w:val="000000"/>
          <w:sz w:val="24"/>
        </w:rPr>
        <w:t>Perform common-size analysis and interpret the results.</w:t>
      </w:r>
      <w:r>
        <w:rPr>
          <w:rFonts w:ascii="Times New Roman"/>
          <w:sz w:val="24"/>
        </w:rPr>
        <w:br/>
      </w:r>
      <w:r>
        <w:rPr>
          <w:rFonts w:ascii="Times New Roman"/>
          <w:color w:val="000000"/>
          <w:sz w:val="24"/>
        </w:rPr>
        <w:t>Review the accounting policies and estimates used by the company to ensure that they are appropriate.</w:t>
      </w:r>
      <w:r>
        <w:rPr>
          <w:rFonts w:ascii="Times New Roman"/>
          <w:sz w:val="24"/>
        </w:rPr>
        <w:br/>
      </w:r>
      <w:r>
        <w:rPr>
          <w:rFonts w:ascii="Times New Roman"/>
          <w:color w:val="000000"/>
          <w:sz w:val="24"/>
        </w:rPr>
        <w:t>Adjust the financial statements, as necessary, to use appropriate accounting policies and estimates.</w:t>
      </w:r>
      <w:r>
        <w:rPr>
          <w:rFonts w:ascii="Times New Roman"/>
          <w:sz w:val="24"/>
        </w:rPr>
        <w:br/>
      </w:r>
      <w:r>
        <w:rPr>
          <w:rFonts w:ascii="Times New Roman"/>
          <w:color w:val="000000"/>
          <w:sz w:val="24"/>
        </w:rPr>
        <w:t>Calculate the ratios for one or more periods.</w:t>
      </w:r>
      <w:r>
        <w:rPr>
          <w:rFonts w:ascii="Times New Roman"/>
          <w:sz w:val="24"/>
        </w:rPr>
        <w:br/>
      </w:r>
      <w:r>
        <w:rPr>
          <w:rFonts w:ascii="Times New Roman"/>
          <w:color w:val="000000"/>
          <w:sz w:val="24"/>
        </w:rPr>
        <w:t>Compare the ratios to relevant benchmarks.</w:t>
      </w:r>
      <w:r>
        <w:rPr>
          <w:rFonts w:ascii="Times New Roman"/>
          <w:sz w:val="24"/>
        </w:rPr>
        <w:br/>
      </w:r>
      <w:r>
        <w:rPr>
          <w:rFonts w:ascii="Times New Roman"/>
          <w:color w:val="000000"/>
          <w:sz w:val="24"/>
        </w:rPr>
        <w:t>Interpret the results of the analysis to determine whether they are better, worse or the same as the benchmark.</w:t>
      </w:r>
      <w:r>
        <w:rPr>
          <w:rFonts w:ascii="Times New Roman"/>
          <w:sz w:val="24"/>
        </w:rPr>
        <w:br/>
      </w:r>
      <w:r>
        <w:rPr>
          <w:rFonts w:ascii="Times New Roman"/>
          <w:color w:val="000000"/>
          <w:sz w:val="24"/>
        </w:rPr>
        <w:t>Decide whether to increase, decrease or maintain the level of participation with the reporting entity.</w:t>
      </w:r>
    </w:p>
    <w:p w14:paraId="6394FAB3" w14:textId="77777777" w:rsidR="00BE2376" w:rsidRDefault="00BE2376">
      <w:pPr>
        <w:keepLines/>
        <w:spacing w:after="0"/>
      </w:pPr>
    </w:p>
    <w:sectPr w:rsidR="00BE237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3692" w14:textId="77777777" w:rsidR="00760605" w:rsidRDefault="00760605">
      <w:pPr>
        <w:spacing w:after="0" w:line="240" w:lineRule="auto"/>
      </w:pPr>
      <w:r>
        <w:separator/>
      </w:r>
    </w:p>
  </w:endnote>
  <w:endnote w:type="continuationSeparator" w:id="0">
    <w:p w14:paraId="721EBD96" w14:textId="77777777" w:rsidR="00760605" w:rsidRDefault="0076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8AEF" w14:textId="77777777" w:rsidR="002B5795" w:rsidRDefault="002B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8C9A" w14:textId="3A038434" w:rsidR="00BE2376" w:rsidRPr="002B5795" w:rsidRDefault="00BE2376" w:rsidP="002B5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A416" w14:textId="77777777" w:rsidR="002B5795" w:rsidRDefault="002B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268F" w14:textId="77777777" w:rsidR="00760605" w:rsidRDefault="00760605">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39A20887" w14:textId="77777777" w:rsidR="00760605" w:rsidRDefault="00760605"/>
    <w:p w14:paraId="182DEEF3" w14:textId="77777777" w:rsidR="00760605" w:rsidRDefault="00760605">
      <w:pPr>
        <w:spacing w:after="0" w:line="240" w:lineRule="auto"/>
      </w:pPr>
      <w:r>
        <w:separator/>
      </w:r>
    </w:p>
  </w:footnote>
  <w:footnote w:type="continuationSeparator" w:id="0">
    <w:p w14:paraId="3D1804A8" w14:textId="77777777" w:rsidR="00760605" w:rsidRDefault="0076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703" w14:textId="77777777" w:rsidR="002B5795" w:rsidRDefault="002B5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BC6F" w14:textId="77777777" w:rsidR="002B5795" w:rsidRDefault="002B5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ED2E" w14:textId="77777777" w:rsidR="002B5795" w:rsidRDefault="002B5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AD840B4C"/>
    <w:lvl w:ilvl="0" w:tplc="D1624E00">
      <w:numFmt w:val="decimal"/>
      <w:lvlText w:val=""/>
      <w:lvlJc w:val="left"/>
    </w:lvl>
    <w:lvl w:ilvl="1" w:tplc="E0085460">
      <w:start w:val="1"/>
      <w:numFmt w:val="bullet"/>
      <w:lvlText w:val=""/>
      <w:lvlJc w:val="left"/>
      <w:pPr>
        <w:ind w:left="720" w:hanging="360"/>
      </w:pPr>
      <w:rPr>
        <w:rFonts w:ascii="Courier New" w:hAnsi="Courier New" w:hint="default"/>
      </w:rPr>
    </w:lvl>
    <w:lvl w:ilvl="2" w:tplc="422E7460">
      <w:numFmt w:val="decimal"/>
      <w:lvlText w:val=""/>
      <w:lvlJc w:val="left"/>
    </w:lvl>
    <w:lvl w:ilvl="3" w:tplc="1EAAC8EA">
      <w:numFmt w:val="decimal"/>
      <w:lvlText w:val=""/>
      <w:lvlJc w:val="left"/>
    </w:lvl>
    <w:lvl w:ilvl="4" w:tplc="581E0C9A">
      <w:numFmt w:val="decimal"/>
      <w:lvlText w:val=""/>
      <w:lvlJc w:val="left"/>
    </w:lvl>
    <w:lvl w:ilvl="5" w:tplc="E7F411AE">
      <w:numFmt w:val="decimal"/>
      <w:lvlText w:val=""/>
      <w:lvlJc w:val="left"/>
    </w:lvl>
    <w:lvl w:ilvl="6" w:tplc="8648F3C4">
      <w:numFmt w:val="decimal"/>
      <w:lvlText w:val=""/>
      <w:lvlJc w:val="left"/>
    </w:lvl>
    <w:lvl w:ilvl="7" w:tplc="31D2D25C">
      <w:numFmt w:val="decimal"/>
      <w:lvlText w:val=""/>
      <w:lvlJc w:val="left"/>
    </w:lvl>
    <w:lvl w:ilvl="8" w:tplc="C90431C2">
      <w:numFmt w:val="decimal"/>
      <w:lvlText w:val=""/>
      <w:lvlJc w:val="left"/>
    </w:lvl>
  </w:abstractNum>
  <w:abstractNum w:abstractNumId="1" w15:restartNumberingAfterBreak="0">
    <w:nsid w:val="08AF2FBE"/>
    <w:multiLevelType w:val="multilevel"/>
    <w:tmpl w:val="1BA011A2"/>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89C23998"/>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486553134">
    <w:abstractNumId w:val="2"/>
  </w:num>
  <w:num w:numId="2" w16cid:durableId="678779814">
    <w:abstractNumId w:val="0"/>
  </w:num>
  <w:num w:numId="3" w16cid:durableId="56599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E2376"/>
    <w:rsid w:val="002B5795"/>
    <w:rsid w:val="00760605"/>
    <w:rsid w:val="00BE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11B53"/>
  <w15:docId w15:val="{2618319B-D27A-413F-BF51-04ECE4E3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2B5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1726</Words>
  <Characters>9839</Characters>
  <Application>Microsoft Office Word</Application>
  <DocSecurity>0</DocSecurity>
  <Lines>81</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2023-10-12T17:41:00Z</dcterms:created>
  <dcterms:modified xsi:type="dcterms:W3CDTF">2023-10-12T17:41:00Z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