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All forms of intellectual property have a fixed period of duration.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Only one form of intellectual property is available for any one item.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For any form of intellectual property to be protectable, it must be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registered with the appropriate government agency.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Trade secrets are protected by various state laws rather than federal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Trademarks may consist of words, slogans, logos, and even sounds.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protected under copyright law, a literary work must have serious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and artistic merit.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fairly easy to obtain a copyright registration.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For some companies, the value of their intellectual property assets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far outweigh their tangible assets.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List the four fields that comprise intellectual property.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65"/>
              <w:gridCol w:w="67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The four fields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4"/>
                      <w:szCs w:val="24"/>
                      <w:bdr w:val="nil"/>
                      <w:rtl w:val="0"/>
                    </w:rPr>
                    <w:t>trademarks, copyrights, patents, and trade secrets.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11:51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___</w:t>
            </w:r>
            <w:r>
              <w:rPr>
                <w:rStyle w:val="DefaultParagraphFont"/>
                <w:rFonts w:ascii="Times New Roman" w:eastAsia="Times New Roman" w:hAnsi="Times New Roman" w:cs="Times New Roman"/>
                <w:b/>
                <w:bCs/>
                <w:i w:val="0"/>
                <w:iCs w:val="0"/>
                <w:smallCaps w:val="0"/>
                <w:color w:val="000000"/>
                <w:sz w:val="24"/>
                <w:szCs w:val="24"/>
                <w:bdr w:val="nil"/>
                <w:rtl w:val="0"/>
              </w:rPr>
              <w:t>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is an international organization that promotes intellectual property throughout the world and administers numerous treaties relating to intellectual property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WIPO</w:t>
                  </w:r>
                  <w:r>
                    <w:rPr>
                      <w:rStyle w:val="DefaultParagraphFont"/>
                      <w:rFonts w:ascii="Times New Roman" w:eastAsia="Times New Roman" w:hAnsi="Times New Roman" w:cs="Times New Roman"/>
                      <w:b/>
                      <w:bCs/>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11:51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How do patents promote the public good as well as their inventors’ interests?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In return for fully disclosing the invention in the patent application, the inventor receives an exclusive period of time to exploit the invention. Then after the patent expires, any member of the public may use or sell the invention (thus benefiting the public).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7:51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the period of copyright protection so long?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It may take several years for a song, painting, or film to achieve its true value. Thus, authors need a long period of time of protection to allow their works to achieve their greatest value.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6:18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7:51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Differentiate between a trademark and a service mark.</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84"/>
              <w:gridCol w:w="73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A trademark is used in connection with the offering of goods; a service mark is used in connection with the offering of services.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7:52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the three types of patents.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There are utility patents, design patents, and plant patents.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7:52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An application for a utility patent was filed on September 1, 2015, and was granted on June 1, 2016. When will the patent expire?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1"/>
              <w:gridCol w:w="7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The patent will expire on September 1, 2035, which is 20 years after the application filing date.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6:23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9/22/2016 7:53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which field of intellectual property law would protect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word “BIC” used for pens</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trademark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new </w:t>
                  </w:r>
                  <w:r>
                    <w:rPr>
                      <w:rStyle w:val="DefaultParagraphFont"/>
                      <w:rFonts w:ascii="Times New Roman" w:eastAsia="Times New Roman" w:hAnsi="Times New Roman" w:cs="Times New Roman"/>
                      <w:b w:val="0"/>
                      <w:bCs w:val="0"/>
                      <w:i/>
                      <w:iCs/>
                      <w:smallCaps w:val="0"/>
                      <w:color w:val="000000"/>
                      <w:sz w:val="22"/>
                      <w:szCs w:val="22"/>
                      <w:bdr w:val="nil"/>
                      <w:rtl w:val="0"/>
                    </w:rPr>
                    <w:t>Star Wars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film</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copyright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new camera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patent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slogan “Eat Fresh” used by Subway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trademark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novel </w:t>
                  </w:r>
                  <w:r>
                    <w:rPr>
                      <w:rStyle w:val="DefaultParagraphFont"/>
                      <w:rFonts w:ascii="Times New Roman" w:eastAsia="Times New Roman" w:hAnsi="Times New Roman" w:cs="Times New Roman"/>
                      <w:b w:val="0"/>
                      <w:bCs w:val="0"/>
                      <w:i/>
                      <w:iCs/>
                      <w:smallCaps w:val="0"/>
                      <w:color w:val="000000"/>
                      <w:sz w:val="22"/>
                      <w:szCs w:val="22"/>
                      <w:bdr w:val="nil"/>
                      <w:rtl w:val="0"/>
                    </w:rPr>
                    <w:t>The Nightingale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copyright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company’s valuable customer list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4"/>
                      <w:szCs w:val="24"/>
                      <w:bdr w:val="nil"/>
                      <w:rtl w:val="0"/>
                    </w:rPr>
                    <w:t>trade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sz w:val="22"/>
                      <w:szCs w:val="22"/>
                      <w:bdr w:val="nil"/>
                      <w:rtl w:val="0"/>
                    </w:rPr>
                    <w:t>secret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9/21/2016 6:24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9/29/2016 12:09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 Introduction to Intellectual Property Law</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Intellectual Property Law</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